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620</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：唐山市供销合作总社</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spacing w:line="500" w:lineRule="exact"/>
        <w:ind w:firstLine="560"/>
      </w:pPr>
      <w:r>
        <w:rPr>
          <w:rFonts w:eastAsia="方正仿宋_GBK"/>
          <w:color w:val="000000"/>
          <w:sz w:val="28"/>
        </w:rPr>
        <w:t>根据《唐山市供销合作总社职能配置、内设机构和人员编制规定》，唐山市供销合作总社的主要职责是：</w:t>
      </w:r>
    </w:p>
    <w:p>
      <w:pPr>
        <w:pStyle w:val="25"/>
      </w:pPr>
      <w:r>
        <w:t>1、宣传贯彻党中央、国务院、省委、省政府和市委、市政府有关“三农”的方针政策，制定全市供销合作社的发展战略和发展规划，指导全市供销合作社的改革与发展。</w:t>
      </w:r>
    </w:p>
    <w:p>
      <w:pPr>
        <w:pStyle w:val="25"/>
      </w:pPr>
      <w:r>
        <w:t>2、维护供销合作社章程赋予的合法权益，促进合作经济的发展。坚持供销合作社合作经济组织属性，发展生产、供销、信用“三位一体”综合合作，提高供销合作社农业社会化服务能力，助力乡村振兴。</w:t>
      </w:r>
    </w:p>
    <w:p>
      <w:pPr>
        <w:pStyle w:val="25"/>
      </w:pPr>
      <w:r>
        <w:t>3、按照市政府授权，对全市重要农业生产资料、农副产品和再生资源经营进行组织、协调、管理，承担政府委托的公益性服务和其他任务，指导所属企业做好棉花、化肥、农药、食盐等国家和市级重要物资的储备工作。</w:t>
      </w:r>
    </w:p>
    <w:p>
      <w:pPr>
        <w:pStyle w:val="25"/>
      </w:pPr>
      <w:r>
        <w:t>4、协调同有关部门的关系，指导全市供销合作社的业务活动。发展电子商务和开展农村合作金融服务，指导系统领办、创办农民专业合作社，更好地履行为农服务职责。指导推进全市农村产权交易市场建设和管理。</w:t>
      </w:r>
    </w:p>
    <w:p>
      <w:pPr>
        <w:pStyle w:val="25"/>
      </w:pPr>
      <w:r>
        <w:t>5、指导市供销合作总社所属企业改革，建立现代企业制度。管理运营本级社有资产，对市直企业行使出资人职能，依法享有所有者的资产收益、重大问题决策和选择管理者的权利。</w:t>
      </w:r>
    </w:p>
    <w:p>
      <w:pPr>
        <w:pStyle w:val="26"/>
        <w:rPr>
          <w:rFonts w:hint="eastAsia" w:eastAsia="方正仿宋_GBK"/>
          <w:lang w:val="en-US" w:eastAsia="zh-CN"/>
        </w:rPr>
      </w:pPr>
      <w:r>
        <w:t>6、完成市委、市政府和省供销社交办的其他任务。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default" w:ascii="仿宋_GB2312" w:hAnsi="仿宋_GB2312" w:eastAsia="仿宋_GB2312" w:cs="仿宋_GB2312"/>
          <w:i w:val="0"/>
          <w:iCs w:val="0"/>
          <w:caps w:val="0"/>
          <w:color w:val="auto"/>
          <w:spacing w:val="0"/>
          <w:sz w:val="32"/>
          <w:szCs w:val="32"/>
          <w:highlight w:val="none"/>
          <w:shd w:val="clear" w:fill="FFFFFF"/>
          <w:lang w:val="e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唐山市供销合作总社</w:t>
            </w:r>
            <w:r>
              <w:rPr>
                <w:rFonts w:hint="eastAsia" w:ascii="仿宋_GB2312" w:hAnsi="Calibri" w:eastAsia="仿宋_GB2312" w:cs="ArialUnicodeMS"/>
                <w:kern w:val="0"/>
                <w:sz w:val="28"/>
                <w:szCs w:val="28"/>
              </w:rPr>
              <w:t>(本级)</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参公事业单位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485" w:type="dxa"/>
          </w:tcPr>
          <w:p>
            <w:pPr>
              <w:spacing w:line="560" w:lineRule="exact"/>
              <w:rPr>
                <w:rFonts w:ascii="仿宋_GB2312" w:hAnsi="Calibri" w:eastAsia="仿宋_GB2312" w:cs="ArialUnicodeMS"/>
                <w:kern w:val="0"/>
                <w:sz w:val="28"/>
                <w:szCs w:val="28"/>
              </w:rPr>
            </w:pPr>
          </w:p>
        </w:tc>
        <w:tc>
          <w:tcPr>
            <w:tcW w:w="2445" w:type="dxa"/>
          </w:tcPr>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3485" w:type="dxa"/>
          </w:tcPr>
          <w:p>
            <w:pPr>
              <w:spacing w:line="560" w:lineRule="exact"/>
              <w:rPr>
                <w:rFonts w:ascii="仿宋_GB2312" w:hAnsi="Calibri" w:eastAsia="仿宋_GB2312" w:cs="ArialUnicodeMS"/>
                <w:kern w:val="0"/>
                <w:sz w:val="28"/>
                <w:szCs w:val="28"/>
              </w:rPr>
            </w:pPr>
          </w:p>
        </w:tc>
        <w:tc>
          <w:tcPr>
            <w:tcW w:w="2445" w:type="dxa"/>
          </w:tcPr>
          <w:p>
            <w:pPr>
              <w:spacing w:line="560" w:lineRule="exact"/>
              <w:jc w:val="center"/>
              <w:rPr>
                <w:rFonts w:ascii="仿宋_GB2312" w:hAnsi="Calibri" w:eastAsia="仿宋_GB2312" w:cs="ArialUnicodeMS"/>
                <w:kern w:val="0"/>
                <w:sz w:val="28"/>
                <w:szCs w:val="28"/>
              </w:rPr>
            </w:pPr>
          </w:p>
        </w:tc>
        <w:tc>
          <w:tcPr>
            <w:tcW w:w="2665" w:type="dxa"/>
          </w:tcPr>
          <w:p>
            <w:pPr>
              <w:spacing w:line="560" w:lineRule="exact"/>
              <w:jc w:val="center"/>
              <w:rPr>
                <w:rFonts w:ascii="仿宋_GB2312" w:hAnsi="Calibri"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keepNext w:val="0"/>
        <w:keepLines w:val="0"/>
        <w:pageBreakBefore w:val="0"/>
        <w:widowControl w:val="0"/>
        <w:kinsoku/>
        <w:wordWrap/>
        <w:overflowPunct/>
        <w:topLinePunct w:val="0"/>
        <w:autoSpaceDE/>
        <w:autoSpaceDN/>
        <w:bidi w:val="0"/>
        <w:adjustRightInd w:val="0"/>
        <w:snapToGrid/>
        <w:spacing w:line="560" w:lineRule="exact"/>
        <w:ind w:firstLine="560" w:firstLineChars="200"/>
        <w:jc w:val="left"/>
        <w:textAlignment w:val="auto"/>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我部门无二级预算单位，因此，</w:t>
      </w:r>
      <w:r>
        <w:rPr>
          <w:rFonts w:hint="eastAsia" w:ascii="仿宋_GB2312" w:hAnsi="Calibri" w:eastAsia="仿宋_GB2312" w:cs="ArialUnicodeMS"/>
          <w:kern w:val="0"/>
          <w:sz w:val="28"/>
          <w:szCs w:val="28"/>
          <w:lang w:eastAsia="zh-CN"/>
        </w:rPr>
        <w:t>唐山市供销合作总社</w:t>
      </w:r>
      <w:r>
        <w:rPr>
          <w:rFonts w:hint="eastAsia" w:ascii="仿宋_GB2312" w:hAnsi="Calibri" w:eastAsia="仿宋_GB2312" w:cs="ArialUnicodeMS"/>
          <w:kern w:val="0"/>
          <w:sz w:val="28"/>
          <w:szCs w:val="28"/>
        </w:rPr>
        <w:t>2023年度部门决算即</w:t>
      </w:r>
      <w:r>
        <w:rPr>
          <w:rFonts w:hint="eastAsia" w:ascii="仿宋_GB2312" w:hAnsi="Calibri" w:eastAsia="仿宋_GB2312" w:cs="ArialUnicodeMS"/>
          <w:kern w:val="0"/>
          <w:sz w:val="28"/>
          <w:szCs w:val="28"/>
          <w:lang w:eastAsia="zh-CN"/>
        </w:rPr>
        <w:t>唐山市供销合作总社</w:t>
      </w:r>
      <w:r>
        <w:rPr>
          <w:rFonts w:hint="eastAsia" w:ascii="仿宋_GB2312" w:hAnsi="Calibri" w:eastAsia="仿宋_GB2312" w:cs="ArialUnicodeMS"/>
          <w:kern w:val="0"/>
          <w:sz w:val="28"/>
          <w:szCs w:val="28"/>
        </w:rPr>
        <w:t>本级2023年度决算。”</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编制部门（单位）：唐山市供销合作总社</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编制部门（单位）：唐山市供销合作总社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1,153.28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1,153.28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进修及培训</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培训支出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其他农村综合改革支出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商业服务业等支出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947.66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947.66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商业流通事务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947.66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947.66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907.53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907.53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其他商业流通事务支出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47.84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编制部门（单位）：唐山市供销合作总社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1,057.32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95.96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其他农村综合改革支出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947.66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901.70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45.96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947.66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901.70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45.96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901.70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其他商业流通事务支出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编制部门（单位）：唐山市供销合作总社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58.27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58.27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46.61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46.61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50.00</w:t>
            </w: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50.00</w:t>
            </w: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947.66</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947.66</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47.84</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47.84</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1,153.28</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416"/>
        <w:gridCol w:w="410"/>
        <w:gridCol w:w="899"/>
        <w:gridCol w:w="1037"/>
        <w:gridCol w:w="383"/>
        <w:gridCol w:w="1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编制部门（单位）：唐山市供销合作总社</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1,153.28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1,057.32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58.27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其他农村综合改革支出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947.66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901.70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947.66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901.70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901.70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其他商业流通事务支出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47.84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编制部门（单位）：唐山市供销合作总社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587.26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102.04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162.22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143.53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126.58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0.20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58.27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21.99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24.27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47.84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368.02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106.66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159.80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71.30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955.28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编制部门（单位）：唐山市供销合作总社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编制部门（单位）：唐山市供销合作总社</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注：本部门本年度无相关收入（或支出、收支及结转结余等）情况，按要求空表列示。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编制部门（单位）：唐山市供销合作总社</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14.10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13.52</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13.52</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0.58</w:t>
            </w: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10.23</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9.66</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9.66</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1,153.28</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33981.13</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96.72</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eastAsia="zh-CN"/>
        </w:rPr>
        <w:t>项目减少</w:t>
      </w:r>
      <w:r>
        <w:rPr>
          <w:rFonts w:hint="default" w:ascii="Times New Roman" w:hAnsi="Times New Roman" w:eastAsia="仿宋_GB2312" w:cs="Times New Roman"/>
          <w:kern w:val="2"/>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r>
        <w:rPr>
          <w:rFonts w:hint="default" w:ascii="Times New Roman" w:hAnsi="Times New Roman" w:eastAsia="仿宋_GB2312" w:cs="Times New Roman"/>
          <w:kern w:val="2"/>
          <w:sz w:val="32"/>
          <w:szCs w:val="32"/>
          <w:highlight w:val="yellow"/>
          <w:lang w:val="en-US" w:eastAsia="zh-CN" w:bidi="ar-SA"/>
        </w:rPr>
        <w:drawing>
          <wp:inline distT="0" distB="0" distL="114300" distR="114300">
            <wp:extent cx="5080000" cy="3810000"/>
            <wp:effectExtent l="4445" t="4445" r="20955" b="1460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1,153.28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，其中：财政拨款收入1,153.28万元，占100%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1,153.28万元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1,057.32万元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占91.68%；</w:t>
      </w:r>
      <w:r>
        <w:rPr>
          <w:rFonts w:hint="default" w:ascii="Times New Roman" w:hAnsi="Times New Roman" w:eastAsia="仿宋_GB2312" w:cs="Times New Roman"/>
          <w:kern w:val="2"/>
          <w:sz w:val="32"/>
          <w:szCs w:val="32"/>
          <w:lang w:val="zh-CN"/>
        </w:rPr>
        <w:t>项目支出</w:t>
      </w:r>
      <w:r>
        <w:rPr>
          <w:rFonts w:hint="eastAsia" w:ascii="Times New Roman" w:hAnsi="Times New Roman" w:eastAsia="仿宋_GB2312" w:cs="Times New Roman"/>
          <w:kern w:val="2"/>
          <w:sz w:val="32"/>
          <w:szCs w:val="32"/>
          <w:lang w:val="en-US" w:eastAsia="zh-CN"/>
        </w:rPr>
        <w:t>95.96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w:t>
      </w:r>
      <w:r>
        <w:rPr>
          <w:rFonts w:hint="eastAsia" w:ascii="Times New Roman" w:hAnsi="Times New Roman" w:eastAsia="仿宋_GB2312" w:cs="Times New Roman"/>
          <w:kern w:val="2"/>
          <w:sz w:val="32"/>
          <w:szCs w:val="32"/>
          <w:lang w:val="en-US" w:eastAsia="zh-CN"/>
        </w:rPr>
        <w:t>8.32</w:t>
      </w:r>
      <w:r>
        <w:rPr>
          <w:rFonts w:hint="default" w:ascii="Times New Roman" w:hAnsi="Times New Roman" w:eastAsia="仿宋_GB2312" w:cs="Times New Roman"/>
          <w:kern w:val="2"/>
          <w:sz w:val="32"/>
          <w:szCs w:val="32"/>
          <w:lang w:val="zh-CN" w:eastAsia="zh-CN"/>
        </w:rPr>
        <w:t>%</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drawing>
          <wp:inline distT="0" distB="0" distL="114300" distR="114300">
            <wp:extent cx="5080000" cy="3810000"/>
            <wp:effectExtent l="4445" t="4445" r="20955" b="1460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年度财政拨款本年收入1,153.28</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kern w:val="2"/>
          <w:sz w:val="32"/>
          <w:szCs w:val="32"/>
          <w:lang w:val="en-US" w:eastAsia="zh-CN"/>
        </w:rPr>
        <w:t>33981.13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kern w:val="2"/>
          <w:sz w:val="32"/>
          <w:szCs w:val="32"/>
          <w:lang w:val="en-US" w:eastAsia="zh-CN"/>
        </w:rPr>
        <w:t>96.72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项目减少</w:t>
      </w:r>
      <w:r>
        <w:rPr>
          <w:rFonts w:hint="default" w:ascii="Times New Roman" w:hAnsi="Times New Roman" w:eastAsia="仿宋_GB2312" w:cs="Times New Roman"/>
          <w:color w:val="auto"/>
          <w:kern w:val="2"/>
          <w:sz w:val="32"/>
          <w:szCs w:val="32"/>
          <w:lang w:val="zh-CN" w:eastAsia="zh-CN" w:bidi="ar-SA"/>
        </w:rPr>
        <w:t>；本年支出 1,153.28万元，比上年减少</w:t>
      </w:r>
      <w:r>
        <w:rPr>
          <w:rFonts w:hint="eastAsia" w:ascii="Times New Roman" w:hAnsi="Times New Roman" w:eastAsia="仿宋_GB2312" w:cs="Times New Roman"/>
          <w:kern w:val="2"/>
          <w:sz w:val="32"/>
          <w:szCs w:val="32"/>
          <w:lang w:val="en-US" w:eastAsia="zh-CN"/>
        </w:rPr>
        <w:t>33981.13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kern w:val="2"/>
          <w:sz w:val="32"/>
          <w:szCs w:val="32"/>
          <w:lang w:val="en-US" w:eastAsia="zh-CN"/>
        </w:rPr>
        <w:t>96.72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一般公共预算财政拨款本年收入1,153.28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72.11</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人员</w:t>
      </w:r>
      <w:r>
        <w:rPr>
          <w:rFonts w:hint="eastAsia" w:ascii="Times New Roman" w:hAnsi="Times New Roman" w:eastAsia="仿宋_GB2312" w:cs="Times New Roman"/>
          <w:kern w:val="2"/>
          <w:sz w:val="32"/>
          <w:szCs w:val="32"/>
          <w:lang w:val="en-US" w:eastAsia="zh-CN"/>
        </w:rPr>
        <w:t>经费增加</w:t>
      </w:r>
      <w:r>
        <w:rPr>
          <w:rFonts w:hint="default" w:ascii="Times New Roman" w:hAnsi="Times New Roman" w:eastAsia="仿宋_GB2312" w:cs="Times New Roman"/>
          <w:kern w:val="2"/>
          <w:sz w:val="32"/>
          <w:szCs w:val="32"/>
          <w:lang w:val="zh-CN"/>
        </w:rPr>
        <w:t>；本年支出 1,153.28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72.11</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6.67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人员</w:t>
      </w:r>
      <w:r>
        <w:rPr>
          <w:rFonts w:hint="eastAsia" w:ascii="Times New Roman" w:hAnsi="Times New Roman" w:eastAsia="仿宋_GB2312" w:cs="Times New Roman"/>
          <w:kern w:val="2"/>
          <w:sz w:val="32"/>
          <w:szCs w:val="32"/>
          <w:lang w:val="en-US" w:eastAsia="zh-CN"/>
        </w:rPr>
        <w:t>经费增加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34000</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项目减少</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34000</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项目减少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本年度无相关资金安排</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本年度无相关资金安排</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drawing>
          <wp:anchor distT="0" distB="0" distL="114300" distR="114300" simplePos="0" relativeHeight="251667456" behindDoc="0" locked="0" layoutInCell="1" allowOverlap="1">
            <wp:simplePos x="0" y="0"/>
            <wp:positionH relativeFrom="column">
              <wp:posOffset>278130</wp:posOffset>
            </wp:positionH>
            <wp:positionV relativeFrom="paragraph">
              <wp:posOffset>165735</wp:posOffset>
            </wp:positionV>
            <wp:extent cx="5080000" cy="3810000"/>
            <wp:effectExtent l="4445" t="4445" r="20955" b="14605"/>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年度财政拨款本年收入1,153.28万元，完成年初预算的110.88%，比年初预算增加</w:t>
      </w:r>
      <w:r>
        <w:rPr>
          <w:rFonts w:hint="eastAsia" w:ascii="Times New Roman" w:hAnsi="Times New Roman" w:eastAsia="仿宋_GB2312" w:cs="Times New Roman"/>
          <w:color w:val="auto"/>
          <w:kern w:val="2"/>
          <w:sz w:val="32"/>
          <w:szCs w:val="32"/>
          <w:lang w:val="en-US" w:eastAsia="zh-CN" w:bidi="ar-SA"/>
        </w:rPr>
        <w:t>113.14</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zh-CN" w:eastAsia="zh-CN" w:bidi="ar-SA"/>
        </w:rPr>
        <w:t>人员经费增加</w:t>
      </w:r>
      <w:r>
        <w:rPr>
          <w:rFonts w:hint="default" w:ascii="Times New Roman" w:hAnsi="Times New Roman" w:eastAsia="仿宋_GB2312" w:cs="Times New Roman"/>
          <w:color w:val="auto"/>
          <w:kern w:val="2"/>
          <w:sz w:val="32"/>
          <w:szCs w:val="32"/>
          <w:lang w:val="zh-CN" w:eastAsia="zh-CN" w:bidi="ar-SA"/>
        </w:rPr>
        <w:t>；本年支出1,153.28万元，完成年初预算的110.88%，比年初预算增加</w:t>
      </w:r>
      <w:r>
        <w:rPr>
          <w:rFonts w:hint="eastAsia" w:ascii="Times New Roman" w:hAnsi="Times New Roman" w:eastAsia="仿宋_GB2312" w:cs="Times New Roman"/>
          <w:color w:val="auto"/>
          <w:kern w:val="2"/>
          <w:sz w:val="32"/>
          <w:szCs w:val="32"/>
          <w:lang w:val="en-US" w:eastAsia="zh-CN" w:bidi="ar-SA"/>
        </w:rPr>
        <w:t>113.14</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zh-CN" w:eastAsia="zh-CN" w:bidi="ar-SA"/>
        </w:rPr>
        <w:t>人员经费增加</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收入1,153.28万元，完成年初预算的 110.88%，比年初预算增加</w:t>
      </w:r>
      <w:r>
        <w:rPr>
          <w:rFonts w:hint="eastAsia" w:ascii="Times New Roman" w:hAnsi="Times New Roman" w:eastAsia="仿宋_GB2312" w:cs="Times New Roman"/>
          <w:color w:val="auto"/>
          <w:kern w:val="2"/>
          <w:sz w:val="32"/>
          <w:szCs w:val="32"/>
          <w:lang w:val="en-US" w:eastAsia="zh-CN" w:bidi="ar-SA"/>
        </w:rPr>
        <w:t>113.14</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zh-CN" w:eastAsia="zh-CN" w:bidi="ar-SA"/>
        </w:rPr>
        <w:t>人员经费增加</w:t>
      </w:r>
      <w:r>
        <w:rPr>
          <w:rFonts w:hint="default" w:ascii="Times New Roman" w:hAnsi="Times New Roman" w:eastAsia="仿宋_GB2312" w:cs="Times New Roman"/>
          <w:kern w:val="2"/>
          <w:sz w:val="32"/>
          <w:szCs w:val="32"/>
          <w:lang w:val="zh-CN"/>
        </w:rPr>
        <w:t>；本年支出1,153.28万元，完成年初预算的110.88%，比年初预算增加</w:t>
      </w:r>
      <w:r>
        <w:rPr>
          <w:rFonts w:hint="eastAsia" w:ascii="Times New Roman" w:hAnsi="Times New Roman" w:eastAsia="仿宋_GB2312" w:cs="Times New Roman"/>
          <w:color w:val="auto"/>
          <w:kern w:val="2"/>
          <w:sz w:val="32"/>
          <w:szCs w:val="32"/>
          <w:lang w:val="en-US" w:eastAsia="zh-CN" w:bidi="ar-SA"/>
        </w:rPr>
        <w:t>113.14</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zh-CN" w:eastAsia="zh-CN" w:bidi="ar-SA"/>
        </w:rPr>
        <w:t>人员经费增加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w:t>
      </w:r>
      <w:r>
        <w:rPr>
          <w:rFonts w:hint="eastAsia" w:ascii="Times New Roman" w:hAnsi="Times New Roman" w:eastAsia="仿宋_GB2312" w:cs="Times New Roman"/>
          <w:kern w:val="2"/>
          <w:sz w:val="32"/>
          <w:szCs w:val="32"/>
          <w:lang w:val="zh-CN"/>
        </w:rPr>
        <w:t>与年初预算持平</w:t>
      </w:r>
      <w:r>
        <w:rPr>
          <w:rFonts w:hint="default" w:ascii="Times New Roman" w:hAnsi="Times New Roman" w:eastAsia="仿宋_GB2312" w:cs="Times New Roman"/>
          <w:kern w:val="2"/>
          <w:sz w:val="32"/>
          <w:szCs w:val="32"/>
          <w:lang w:val="zh-CN"/>
        </w:rPr>
        <w:t>；本年支出0万元，</w:t>
      </w:r>
      <w:r>
        <w:rPr>
          <w:rFonts w:hint="eastAsia" w:ascii="Times New Roman" w:hAnsi="Times New Roman" w:eastAsia="仿宋_GB2312" w:cs="Times New Roman"/>
          <w:kern w:val="2"/>
          <w:sz w:val="32"/>
          <w:szCs w:val="32"/>
          <w:lang w:val="zh-CN"/>
        </w:rPr>
        <w:t>与年初预算持平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w:t>
      </w:r>
      <w:r>
        <w:rPr>
          <w:rFonts w:hint="eastAsia" w:ascii="Times New Roman" w:hAnsi="Times New Roman" w:eastAsia="仿宋_GB2312" w:cs="Times New Roman"/>
          <w:kern w:val="2"/>
          <w:sz w:val="32"/>
          <w:szCs w:val="32"/>
          <w:lang w:val="zh-CN"/>
        </w:rPr>
        <w:t>与年初预算持平</w:t>
      </w:r>
      <w:r>
        <w:rPr>
          <w:rFonts w:hint="default" w:ascii="Times New Roman" w:hAnsi="Times New Roman" w:eastAsia="仿宋_GB2312" w:cs="Times New Roman"/>
          <w:kern w:val="2"/>
          <w:sz w:val="32"/>
          <w:szCs w:val="32"/>
          <w:lang w:val="zh-CN"/>
        </w:rPr>
        <w:t>；本年支出0万元，</w:t>
      </w:r>
      <w:r>
        <w:rPr>
          <w:rFonts w:hint="eastAsia" w:ascii="Times New Roman" w:hAnsi="Times New Roman" w:eastAsia="仿宋_GB2312" w:cs="Times New Roman"/>
          <w:kern w:val="2"/>
          <w:sz w:val="32"/>
          <w:szCs w:val="32"/>
          <w:lang w:val="zh-CN"/>
        </w:rPr>
        <w:t>与年初预算持平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drawing>
          <wp:anchor distT="0" distB="0" distL="114300" distR="114300" simplePos="0" relativeHeight="251668480" behindDoc="0" locked="0" layoutInCell="1" allowOverlap="1">
            <wp:simplePos x="0" y="0"/>
            <wp:positionH relativeFrom="column">
              <wp:posOffset>95250</wp:posOffset>
            </wp:positionH>
            <wp:positionV relativeFrom="paragraph">
              <wp:posOffset>113030</wp:posOffset>
            </wp:positionV>
            <wp:extent cx="5080000" cy="3810000"/>
            <wp:effectExtent l="4445" t="4445" r="20955" b="14605"/>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年度财政拨款支出1,153.28万元，主要用于以下方面：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教育（类）支出2.9万元，占0.25%；科社会保障和就业 （类）支出58.27万元，占5.05%；卫生健康（类）支出46.61万元，占4.04%；农林水（类）支出50万元，占4.34%；商业服务业等（类）支出947.66万元，占82.17%；住房保障（类）支出47.84万元，占4.15%；</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年度财政拨款基本支出1,057.32万元，其中：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955.28万元，主要包括基本工资、津贴补贴、奖金、机关事业部门基本养老保险缴费、职工基本医疗保险缴费、公务员医疗补助缴费、住房公积金、其他社会保障缴费、其他工资福利支出、离休费、退休费、生活补助、医疗费补助、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102.04万元，主要包括办公费、水费、电费、邮电费、取暖费、物业管理费、差旅费、维修（护）费、会议费、培训费、公务接待费、工会经费、福利费、公务用车运行维护费、其他交通费用、其他商品和服务支出、办公设备购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年度“三公”经费财政拨款支出预算为14.1万元，支出决算为 10.23万元，完成预算的 72.55%，较预算减少</w:t>
      </w:r>
      <w:r>
        <w:rPr>
          <w:rFonts w:hint="eastAsia" w:ascii="Times New Roman" w:hAnsi="Times New Roman" w:eastAsia="仿宋_GB2312" w:cs="Times New Roman"/>
          <w:color w:val="auto"/>
          <w:kern w:val="2"/>
          <w:sz w:val="32"/>
          <w:szCs w:val="32"/>
          <w:lang w:val="en-US" w:eastAsia="zh-CN" w:bidi="ar-SA"/>
        </w:rPr>
        <w:t>3.87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27.45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节约经费</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0.63</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6.56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节约经费</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w:t>
      </w:r>
      <w:r>
        <w:rPr>
          <w:rFonts w:hint="eastAsia" w:ascii="Times New Roman" w:hAnsi="Times New Roman" w:eastAsia="仿宋_GB2312" w:cs="Times New Roman"/>
          <w:color w:val="auto"/>
          <w:kern w:val="2"/>
          <w:sz w:val="32"/>
          <w:szCs w:val="32"/>
          <w:lang w:val="en-US" w:eastAsia="zh-CN" w:bidi="ar-SA"/>
        </w:rPr>
        <w:t>与年初预算持平，与上年度持平。</w:t>
      </w:r>
      <w:r>
        <w:rPr>
          <w:rFonts w:hint="default" w:ascii="Times New Roman" w:hAnsi="Times New Roman" w:eastAsia="仿宋_GB2312" w:cs="Times New Roman"/>
          <w:color w:val="auto"/>
          <w:kern w:val="2"/>
          <w:sz w:val="32"/>
          <w:szCs w:val="32"/>
          <w:lang w:val="en-US" w:eastAsia="zh-CN" w:bidi="ar-SA"/>
        </w:rPr>
        <w:t>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年度公务用车购置及运行维护费预算为13.52万元，支出决算 9.66万元，完成预算的71.4</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%,较预算减少</w:t>
      </w:r>
      <w:r>
        <w:rPr>
          <w:rFonts w:hint="eastAsia" w:ascii="Times New Roman" w:hAnsi="Times New Roman" w:eastAsia="仿宋_GB2312" w:cs="Times New Roman"/>
          <w:color w:val="auto"/>
          <w:kern w:val="2"/>
          <w:sz w:val="32"/>
          <w:szCs w:val="32"/>
          <w:lang w:val="en-US" w:eastAsia="zh-CN" w:bidi="ar-SA"/>
        </w:rPr>
        <w:t>3.86</w:t>
      </w:r>
      <w:r>
        <w:rPr>
          <w:rFonts w:hint="default" w:ascii="Times New Roman" w:hAnsi="Times New Roman" w:eastAsia="仿宋_GB2312" w:cs="Times New Roman"/>
          <w:color w:val="auto"/>
          <w:kern w:val="2"/>
          <w:sz w:val="32"/>
          <w:szCs w:val="32"/>
          <w:lang w:val="zh-CN" w:eastAsia="zh-CN" w:bidi="ar-SA"/>
        </w:rPr>
        <w:t>万元，降低</w:t>
      </w:r>
      <w:r>
        <w:rPr>
          <w:rFonts w:hint="default" w:ascii="Times New Roman" w:hAnsi="Times New Roman" w:eastAsia="仿宋_GB2312" w:cs="Times New Roman"/>
          <w:color w:val="auto"/>
          <w:kern w:val="2"/>
          <w:sz w:val="32"/>
          <w:szCs w:val="32"/>
          <w:lang w:val="en" w:eastAsia="zh-CN" w:bidi="ar-SA"/>
        </w:rPr>
        <w:t>28.55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节约经费</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5.03</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108.64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公务出行较增多</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default" w:ascii="Times New Roman" w:hAnsi="Times New Roman" w:eastAsia="楷体_GB2312" w:cs="Times New Roman"/>
          <w:b/>
          <w:bCs/>
          <w:sz w:val="32"/>
          <w:szCs w:val="32"/>
          <w:lang w:val="e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w:t>
      </w:r>
      <w:r>
        <w:rPr>
          <w:rFonts w:hint="eastAsia" w:ascii="Times New Roman" w:hAnsi="Times New Roman" w:eastAsia="仿宋_GB2312" w:cs="Times New Roman"/>
          <w:color w:val="auto"/>
          <w:kern w:val="2"/>
          <w:sz w:val="32"/>
          <w:szCs w:val="32"/>
          <w:lang w:val="en-US" w:eastAsia="zh-CN" w:bidi="ar-SA"/>
        </w:rPr>
        <w:t>与年初预算持平，与上年度持平。</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default" w:ascii="Times New Roman" w:hAnsi="Times New Roman" w:eastAsia="仿宋_GB2312" w:cs="Times New Roman"/>
          <w:b/>
          <w:sz w:val="32"/>
          <w:szCs w:val="32"/>
          <w:lang w:val="en"/>
        </w:rPr>
        <w:t>9.66</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年度单位公务用车保有量4辆，发生运行维护费支出9.66万元。公车运行维护费支出较预算减少</w:t>
      </w:r>
      <w:r>
        <w:rPr>
          <w:rFonts w:hint="eastAsia" w:ascii="Times New Roman" w:hAnsi="Times New Roman" w:eastAsia="仿宋_GB2312" w:cs="Times New Roman"/>
          <w:color w:val="auto"/>
          <w:kern w:val="2"/>
          <w:sz w:val="32"/>
          <w:szCs w:val="32"/>
          <w:lang w:val="en-US" w:eastAsia="zh-CN" w:bidi="ar-SA"/>
        </w:rPr>
        <w:t>3.86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28.55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节约经费</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5.03</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108.64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公务出行较增多</w:t>
      </w:r>
      <w:r>
        <w:rPr>
          <w:rFonts w:hint="eastAsia"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年度公务接待费支出预算为0.58万元，支出决算0.57万元，完成预算的98.97%。公务接待费支出较预算减少</w:t>
      </w:r>
      <w:r>
        <w:rPr>
          <w:rFonts w:hint="eastAsia" w:ascii="Times New Roman" w:hAnsi="Times New Roman" w:eastAsia="仿宋_GB2312" w:cs="Times New Roman"/>
          <w:color w:val="auto"/>
          <w:kern w:val="2"/>
          <w:sz w:val="32"/>
          <w:szCs w:val="32"/>
          <w:lang w:val="en-US" w:eastAsia="zh-CN" w:bidi="ar-SA"/>
        </w:rPr>
        <w:t>0.01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1.03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节约经费</w:t>
      </w:r>
      <w:r>
        <w:rPr>
          <w:rFonts w:hint="default" w:ascii="Times New Roman" w:hAnsi="Times New Roman" w:eastAsia="仿宋_GB2312" w:cs="Times New Roman"/>
          <w:color w:val="auto"/>
          <w:kern w:val="2"/>
          <w:sz w:val="32"/>
          <w:szCs w:val="32"/>
          <w:lang w:val="zh-CN" w:eastAsia="zh-CN" w:bidi="ar-SA"/>
        </w:rPr>
        <w:t>；较上年度减少</w:t>
      </w:r>
      <w:r>
        <w:rPr>
          <w:rFonts w:hint="eastAsia" w:ascii="Times New Roman" w:hAnsi="Times New Roman" w:eastAsia="仿宋_GB2312" w:cs="Times New Roman"/>
          <w:color w:val="auto"/>
          <w:kern w:val="2"/>
          <w:sz w:val="32"/>
          <w:szCs w:val="32"/>
          <w:lang w:val="en-US" w:eastAsia="zh-CN" w:bidi="ar-SA"/>
        </w:rPr>
        <w:t>0.01</w:t>
      </w:r>
      <w:r>
        <w:rPr>
          <w:rFonts w:hint="default" w:ascii="Times New Roman" w:hAnsi="Times New Roman" w:eastAsia="仿宋_GB2312" w:cs="Times New Roman"/>
          <w:color w:val="auto"/>
          <w:kern w:val="2"/>
          <w:sz w:val="32"/>
          <w:szCs w:val="32"/>
          <w:lang w:val="zh-CN" w:eastAsia="zh-CN" w:bidi="ar-SA"/>
        </w:rPr>
        <w:t>X万元，降低</w:t>
      </w:r>
      <w:r>
        <w:rPr>
          <w:rFonts w:hint="eastAsia" w:ascii="Times New Roman" w:hAnsi="Times New Roman" w:eastAsia="仿宋_GB2312" w:cs="Times New Roman"/>
          <w:color w:val="auto"/>
          <w:kern w:val="2"/>
          <w:sz w:val="32"/>
          <w:szCs w:val="32"/>
          <w:lang w:val="en-US" w:eastAsia="zh-CN" w:bidi="ar-SA"/>
        </w:rPr>
        <w:t>1.03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节约经费</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45</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年度机关运行经费支出102.04万元，较2022年度减少</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0.97</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节约经费</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年度政府采购支出总额7.65万元，从采购类型来看，政府采购货物支出3.51万元、政府采购工程支出0万元、政府采购服务支出4.14万元。授予中小企业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5.37万元，占政府采购支出总额的70.22%，其中授予小微企业合同金额5.37万元，占政府采购支出总额的70.22%。</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较上年持平</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辆，应急保障用车0辆，执法执勤用车0辆，特种专业技术用车0辆，离退休干部用车</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辆，其他用车0辆。单位价值100万元（含）以上设备（不含车辆）0台（套）。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50</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4.34</w:t>
      </w: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唐山市农村产权交易中心项目</w:t>
      </w:r>
      <w:r>
        <w:rPr>
          <w:rFonts w:hint="default" w:ascii="Times New Roman" w:hAnsi="Times New Roman" w:eastAsia="仿宋_GB2312" w:cs="Times New Roman"/>
          <w:color w:val="auto"/>
          <w:kern w:val="2"/>
          <w:sz w:val="32"/>
          <w:szCs w:val="32"/>
          <w:lang w:val="zh-CN" w:eastAsia="zh-CN" w:bidi="ar-SA"/>
        </w:rPr>
        <w:t>开展了部门评价，从评价情况来看，</w:t>
      </w:r>
      <w:r>
        <w:rPr>
          <w:rFonts w:hint="eastAsia" w:ascii="Times New Roman" w:hAnsi="Times New Roman" w:eastAsia="仿宋_GB2312" w:cs="Times New Roman"/>
          <w:color w:val="auto"/>
          <w:kern w:val="2"/>
          <w:sz w:val="32"/>
          <w:szCs w:val="32"/>
          <w:lang w:val="en-US" w:eastAsia="zh-CN" w:bidi="ar-SA"/>
        </w:rPr>
        <w:t>全市农村产权交易中心能有效盘活农村闲置资产，增加农民财产收益，规范农村产权流转交易行为，提升农村治理能力，促进农村经济发展。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Times New Roman" w:hAnsi="Times New Roman" w:eastAsia="仿宋_GB2312" w:cs="Times New Roman"/>
          <w:color w:val="auto"/>
          <w:kern w:val="2"/>
          <w:sz w:val="32"/>
          <w:szCs w:val="32"/>
          <w:lang w:val="zh-CN" w:eastAsia="zh-CN" w:bidi="ar-SA"/>
        </w:rPr>
        <w:t>唐山市农村产权交易中心项目</w:t>
      </w:r>
      <w:r>
        <w:rPr>
          <w:rFonts w:hint="default" w:ascii="Times New Roman" w:hAnsi="Times New Roman" w:eastAsia="仿宋_GB2312" w:cs="Times New Roman"/>
          <w:color w:val="auto"/>
          <w:kern w:val="2"/>
          <w:sz w:val="32"/>
          <w:szCs w:val="32"/>
          <w:lang w:val="zh-CN" w:eastAsia="zh-CN" w:bidi="ar-SA"/>
        </w:rPr>
        <w:t>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18"/>
          <w:szCs w:val="18"/>
          <w:highlight w:val="yellow"/>
        </w:rPr>
      </w:pPr>
      <w:r>
        <w:rPr>
          <w:rFonts w:hint="eastAsia" w:ascii="Times New Roman" w:hAnsi="Times New Roman" w:eastAsia="仿宋_GB2312" w:cs="Times New Roman"/>
          <w:color w:val="auto"/>
          <w:kern w:val="2"/>
          <w:sz w:val="32"/>
          <w:szCs w:val="32"/>
          <w:lang w:val="zh-CN" w:eastAsia="zh-CN" w:bidi="ar-SA"/>
        </w:rPr>
        <w:t>唐山市农村产权交易中心</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唐山市农村产权交易中心</w:t>
      </w:r>
      <w:r>
        <w:rPr>
          <w:rFonts w:hint="default" w:ascii="Times New Roman" w:hAnsi="Times New Roman" w:eastAsia="仿宋_GB2312" w:cs="Times New Roman"/>
          <w:color w:val="auto"/>
          <w:kern w:val="2"/>
          <w:sz w:val="32"/>
          <w:szCs w:val="32"/>
          <w:lang w:val="zh-CN" w:eastAsia="zh-CN" w:bidi="ar-SA"/>
        </w:rPr>
        <w:t>项目绩效自评得分为</w:t>
      </w:r>
      <w:r>
        <w:rPr>
          <w:rFonts w:hint="default" w:ascii="Times New Roman" w:hAnsi="Times New Roman" w:eastAsia="仿宋_GB2312" w:cs="Times New Roman"/>
          <w:color w:val="auto"/>
          <w:kern w:val="2"/>
          <w:sz w:val="32"/>
          <w:szCs w:val="32"/>
          <w:lang w:val="en"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556"/>
        <w:gridCol w:w="1188"/>
        <w:gridCol w:w="653"/>
        <w:gridCol w:w="973"/>
        <w:gridCol w:w="726"/>
        <w:gridCol w:w="448"/>
        <w:gridCol w:w="668"/>
        <w:gridCol w:w="772"/>
        <w:gridCol w:w="866"/>
        <w:gridCol w:w="477"/>
        <w:gridCol w:w="4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tcBorders>
              <w:top w:val="single" w:color="B0C4DE" w:sz="4" w:space="0"/>
              <w:left w:val="single" w:color="B0C4DE" w:sz="4" w:space="0"/>
              <w:bottom w:val="single" w:color="B0C4DE" w:sz="4" w:space="0"/>
              <w:right w:val="single" w:color="B0C4DE" w:sz="4" w:space="0"/>
            </w:tcBorders>
            <w:shd w:val="clear" w:color="auto" w:fill="auto"/>
            <w:noWrap/>
            <w:vAlign w:val="center"/>
          </w:tcPr>
          <w:p>
            <w:pPr>
              <w:keepNext w:val="0"/>
              <w:keepLines w:val="0"/>
              <w:widowControl/>
              <w:suppressLineNumbers w:val="0"/>
              <w:jc w:val="center"/>
              <w:textAlignment w:val="center"/>
              <w:rPr>
                <w:rFonts w:ascii="Arial" w:hAnsi="Arial" w:eastAsia="宋体" w:cs="Arial"/>
                <w:i w:val="0"/>
                <w:color w:val="000000"/>
                <w:sz w:val="10"/>
                <w:szCs w:val="10"/>
                <w:u w:val="none"/>
              </w:rPr>
            </w:pPr>
            <w:r>
              <w:rPr>
                <w:rFonts w:hint="default" w:ascii="Arial" w:hAnsi="Arial" w:eastAsia="宋体" w:cs="Arial"/>
                <w:i w:val="0"/>
                <w:color w:val="000000"/>
                <w:kern w:val="0"/>
                <w:sz w:val="10"/>
                <w:szCs w:val="10"/>
                <w:u w:val="none"/>
                <w:lang w:val="en-US" w:eastAsia="zh-CN" w:bidi="ar"/>
              </w:rPr>
              <w:t>2023年度预算项目绩效自评表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tcBorders>
              <w:top w:val="single" w:color="B0C4DE" w:sz="4" w:space="0"/>
              <w:left w:val="single" w:color="B0C4DE" w:sz="4" w:space="0"/>
              <w:bottom w:val="single" w:color="B0C4DE" w:sz="4" w:space="0"/>
              <w:right w:val="single" w:color="B0C4DE" w:sz="4" w:space="0"/>
            </w:tcBorders>
            <w:shd w:val="clear" w:color="auto" w:fill="auto"/>
            <w:noWrap/>
            <w:vAlign w:val="center"/>
          </w:tcPr>
          <w:p>
            <w:pPr>
              <w:jc w:val="center"/>
              <w:rPr>
                <w:rFonts w:hint="default" w:ascii="Arial" w:hAnsi="Arial" w:eastAsia="宋体" w:cs="Arial"/>
                <w:i w:val="0"/>
                <w:color w:val="000000"/>
                <w:sz w:val="10"/>
                <w:szCs w:val="1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一、基本情况</w:t>
            </w: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项目名称</w:t>
            </w:r>
          </w:p>
        </w:tc>
        <w:tc>
          <w:tcPr>
            <w:tcW w:w="108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农村产权流转交易中心运营经费</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项目级次</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本级</w:t>
            </w:r>
          </w:p>
        </w:tc>
        <w:tc>
          <w:tcPr>
            <w:tcW w:w="655"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实施主管单位</w:t>
            </w:r>
          </w:p>
        </w:tc>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620001 - 唐山市供销合作总社本级</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金额单位</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二、预算执行情况</w:t>
            </w:r>
          </w:p>
        </w:tc>
        <w:tc>
          <w:tcPr>
            <w:tcW w:w="1023"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预算安排情况(调整后)</w:t>
            </w:r>
          </w:p>
        </w:tc>
        <w:tc>
          <w:tcPr>
            <w:tcW w:w="1380"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资金到位情况</w:t>
            </w:r>
          </w:p>
        </w:tc>
        <w:tc>
          <w:tcPr>
            <w:tcW w:w="1614" w:type="pct"/>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资金执行情况</w:t>
            </w:r>
          </w:p>
        </w:tc>
        <w:tc>
          <w:tcPr>
            <w:tcW w:w="549"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预算数</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50.000000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到位数</w:t>
            </w: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50.000000</w:t>
            </w:r>
          </w:p>
        </w:tc>
        <w:tc>
          <w:tcPr>
            <w:tcW w:w="655"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执行数</w:t>
            </w:r>
          </w:p>
        </w:tc>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50.000000</w:t>
            </w:r>
          </w:p>
        </w:tc>
        <w:tc>
          <w:tcPr>
            <w:tcW w:w="54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其中:财政资金</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50.000000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其中:财政资金</w:t>
            </w: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50.000000</w:t>
            </w:r>
          </w:p>
        </w:tc>
        <w:tc>
          <w:tcPr>
            <w:tcW w:w="655"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其中:财政资金</w:t>
            </w:r>
          </w:p>
        </w:tc>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50.000000</w:t>
            </w:r>
          </w:p>
        </w:tc>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right"/>
              <w:rPr>
                <w:rFonts w:hint="eastAsia" w:ascii="宋体" w:hAnsi="宋体" w:eastAsia="宋体" w:cs="宋体"/>
                <w:i w:val="0"/>
                <w:color w:val="000000"/>
                <w:sz w:val="10"/>
                <w:szCs w:val="1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其他</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0</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其他</w:t>
            </w: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0</w:t>
            </w:r>
          </w:p>
        </w:tc>
        <w:tc>
          <w:tcPr>
            <w:tcW w:w="655"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其他</w:t>
            </w:r>
          </w:p>
        </w:tc>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0</w:t>
            </w:r>
          </w:p>
        </w:tc>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right"/>
              <w:rPr>
                <w:rFonts w:hint="eastAsia" w:ascii="宋体" w:hAnsi="宋体" w:eastAsia="宋体" w:cs="宋体"/>
                <w:i w:val="0"/>
                <w:color w:val="000000"/>
                <w:sz w:val="10"/>
                <w:szCs w:val="1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三、目标完成情况</w:t>
            </w:r>
          </w:p>
        </w:tc>
        <w:tc>
          <w:tcPr>
            <w:tcW w:w="1977" w:type="pct"/>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年度预期目标</w:t>
            </w:r>
          </w:p>
        </w:tc>
        <w:tc>
          <w:tcPr>
            <w:tcW w:w="2040" w:type="pct"/>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具体完成情况</w:t>
            </w:r>
          </w:p>
        </w:tc>
        <w:tc>
          <w:tcPr>
            <w:tcW w:w="549"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1977" w:type="pct"/>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ascii="方正书宋_GBK" w:hAnsi="方正书宋_GBK" w:eastAsia="方正书宋_GBK" w:cs="方正书宋_GBK"/>
                <w:i w:val="0"/>
                <w:color w:val="000000"/>
                <w:sz w:val="10"/>
                <w:szCs w:val="10"/>
                <w:u w:val="none"/>
              </w:rPr>
            </w:pPr>
            <w:r>
              <w:rPr>
                <w:rFonts w:hint="eastAsia" w:ascii="方正书宋_GBK" w:hAnsi="方正书宋_GBK" w:eastAsia="方正书宋_GBK" w:cs="方正书宋_GBK"/>
                <w:i w:val="0"/>
                <w:color w:val="000000"/>
                <w:kern w:val="0"/>
                <w:sz w:val="10"/>
                <w:szCs w:val="10"/>
                <w:u w:val="none"/>
                <w:lang w:val="en-US" w:eastAsia="zh-CN" w:bidi="ar"/>
              </w:rPr>
              <w:t>推动全市产权交易健康流转</w:t>
            </w:r>
          </w:p>
        </w:tc>
        <w:tc>
          <w:tcPr>
            <w:tcW w:w="2040" w:type="pct"/>
            <w:gridSpan w:val="5"/>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方正书宋_GBK" w:hAnsi="方正书宋_GBK" w:eastAsia="方正书宋_GBK" w:cs="方正书宋_GBK"/>
                <w:i w:val="0"/>
                <w:color w:val="000000"/>
                <w:sz w:val="10"/>
                <w:szCs w:val="10"/>
                <w:u w:val="none"/>
              </w:rPr>
            </w:pPr>
            <w:r>
              <w:rPr>
                <w:rFonts w:hint="eastAsia" w:ascii="方正书宋_GBK" w:hAnsi="方正书宋_GBK" w:eastAsia="方正书宋_GBK" w:cs="方正书宋_GBK"/>
                <w:i w:val="0"/>
                <w:color w:val="000000"/>
                <w:kern w:val="0"/>
                <w:sz w:val="10"/>
                <w:szCs w:val="10"/>
                <w:u w:val="none"/>
                <w:lang w:val="en-US" w:eastAsia="zh-CN" w:bidi="ar"/>
              </w:rPr>
              <w:t>推动全市产权交易健康流转</w:t>
            </w:r>
          </w:p>
        </w:tc>
        <w:tc>
          <w:tcPr>
            <w:tcW w:w="549"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四、年度绩效        指标完成情况</w:t>
            </w:r>
          </w:p>
        </w:tc>
        <w:tc>
          <w:tcPr>
            <w:tcW w:w="326"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一级指标</w:t>
            </w:r>
          </w:p>
        </w:tc>
        <w:tc>
          <w:tcPr>
            <w:tcW w:w="697"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二级指标</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三级指标</w:t>
            </w:r>
          </w:p>
        </w:tc>
        <w:tc>
          <w:tcPr>
            <w:tcW w:w="57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指标说明</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指标分值</w:t>
            </w:r>
          </w:p>
        </w:tc>
        <w:tc>
          <w:tcPr>
            <w:tcW w:w="1108"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预期指标值</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单项指标实际完成值</w:t>
            </w:r>
          </w:p>
        </w:tc>
        <w:tc>
          <w:tcPr>
            <w:tcW w:w="28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单项指标完成情况</w:t>
            </w:r>
          </w:p>
        </w:tc>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69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符号</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值</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单位(文字描述)</w:t>
            </w: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28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产出指标</w:t>
            </w:r>
          </w:p>
        </w:tc>
        <w:tc>
          <w:tcPr>
            <w:tcW w:w="697"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数量指标</w:t>
            </w:r>
          </w:p>
        </w:tc>
        <w:tc>
          <w:tcPr>
            <w:tcW w:w="38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发布农村产权交易信息和引导各类农村产权进场规范交易</w:t>
            </w:r>
          </w:p>
        </w:tc>
        <w:tc>
          <w:tcPr>
            <w:tcW w:w="570"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为农民合作社、龙头企业、家庭农场、种养大户等新型经营主体和农民提供农村各类产权流转信息和交易鉴证等综合服务</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15.00</w:t>
            </w:r>
          </w:p>
        </w:tc>
        <w:tc>
          <w:tcPr>
            <w:tcW w:w="26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w:t>
            </w:r>
          </w:p>
        </w:tc>
        <w:tc>
          <w:tcPr>
            <w:tcW w:w="452"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累计交易额100亿元</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118.26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完成</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default" w:ascii="Arial" w:hAnsi="Arial" w:eastAsia="宋体" w:cs="Arial"/>
                <w:b/>
                <w:i w:val="0"/>
                <w:color w:val="000000"/>
                <w:sz w:val="10"/>
                <w:szCs w:val="10"/>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质量指标</w:t>
            </w:r>
          </w:p>
        </w:tc>
        <w:tc>
          <w:tcPr>
            <w:tcW w:w="38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推动全市农村产权流转交易发展</w:t>
            </w:r>
          </w:p>
        </w:tc>
        <w:tc>
          <w:tcPr>
            <w:tcW w:w="570"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健康、有效</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15.00</w:t>
            </w:r>
          </w:p>
        </w:tc>
        <w:tc>
          <w:tcPr>
            <w:tcW w:w="26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w:t>
            </w:r>
          </w:p>
        </w:tc>
        <w:tc>
          <w:tcPr>
            <w:tcW w:w="452"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完成</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default" w:ascii="Arial" w:hAnsi="Arial" w:eastAsia="宋体" w:cs="Arial"/>
                <w:b/>
                <w:i w:val="0"/>
                <w:color w:val="000000"/>
                <w:sz w:val="10"/>
                <w:szCs w:val="10"/>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时效指标</w:t>
            </w:r>
          </w:p>
        </w:tc>
        <w:tc>
          <w:tcPr>
            <w:tcW w:w="38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完成时限</w:t>
            </w:r>
          </w:p>
        </w:tc>
        <w:tc>
          <w:tcPr>
            <w:tcW w:w="570"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完成时限</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15.00</w:t>
            </w:r>
          </w:p>
        </w:tc>
        <w:tc>
          <w:tcPr>
            <w:tcW w:w="26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2023</w:t>
            </w:r>
          </w:p>
        </w:tc>
        <w:tc>
          <w:tcPr>
            <w:tcW w:w="452"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2023年12月</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2023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完成</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default" w:ascii="Arial" w:hAnsi="Arial" w:eastAsia="宋体" w:cs="Arial"/>
                <w:b/>
                <w:i w:val="0"/>
                <w:color w:val="000000"/>
                <w:sz w:val="10"/>
                <w:szCs w:val="10"/>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成本指标</w:t>
            </w:r>
          </w:p>
        </w:tc>
        <w:tc>
          <w:tcPr>
            <w:tcW w:w="38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市级财政投入</w:t>
            </w:r>
          </w:p>
        </w:tc>
        <w:tc>
          <w:tcPr>
            <w:tcW w:w="570"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财政拨款</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15.00</w:t>
            </w:r>
          </w:p>
        </w:tc>
        <w:tc>
          <w:tcPr>
            <w:tcW w:w="26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50</w:t>
            </w:r>
          </w:p>
        </w:tc>
        <w:tc>
          <w:tcPr>
            <w:tcW w:w="452"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万元</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50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完成</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效益指标</w:t>
            </w:r>
          </w:p>
        </w:tc>
        <w:tc>
          <w:tcPr>
            <w:tcW w:w="697"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经济效益指标</w:t>
            </w:r>
          </w:p>
        </w:tc>
        <w:tc>
          <w:tcPr>
            <w:tcW w:w="38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运营产生经济效益</w:t>
            </w:r>
          </w:p>
        </w:tc>
        <w:tc>
          <w:tcPr>
            <w:tcW w:w="570"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唐山市农村产权交易中心性质为公益性、非营利机构，对进场交易的农户和农村集体经济组织免收服务费用，不产生经济效益。</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10.00</w:t>
            </w:r>
          </w:p>
        </w:tc>
        <w:tc>
          <w:tcPr>
            <w:tcW w:w="26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color w:val="000000"/>
                <w:sz w:val="10"/>
                <w:szCs w:val="10"/>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完成</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default" w:ascii="Arial" w:hAnsi="Arial" w:eastAsia="宋体" w:cs="Arial"/>
                <w:b/>
                <w:i w:val="0"/>
                <w:color w:val="000000"/>
                <w:sz w:val="10"/>
                <w:szCs w:val="10"/>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社会效益指标</w:t>
            </w:r>
          </w:p>
        </w:tc>
        <w:tc>
          <w:tcPr>
            <w:tcW w:w="38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推动全市农村产权交易市场</w:t>
            </w:r>
          </w:p>
        </w:tc>
        <w:tc>
          <w:tcPr>
            <w:tcW w:w="570"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全市农村产权交易中心能有效盘活农村闲置资产，增加农民财产收益，规范农村产权流转交易行为，提升农村治理能力，促进农村经济发展。</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10.00</w:t>
            </w:r>
          </w:p>
        </w:tc>
        <w:tc>
          <w:tcPr>
            <w:tcW w:w="26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w:t>
            </w:r>
          </w:p>
        </w:tc>
        <w:tc>
          <w:tcPr>
            <w:tcW w:w="452"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社会满意度100%</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完成</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满意度指标</w:t>
            </w:r>
          </w:p>
        </w:tc>
        <w:tc>
          <w:tcPr>
            <w:tcW w:w="697"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服务对象满意度指标</w:t>
            </w:r>
          </w:p>
        </w:tc>
        <w:tc>
          <w:tcPr>
            <w:tcW w:w="38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农民满意度</w:t>
            </w:r>
          </w:p>
        </w:tc>
        <w:tc>
          <w:tcPr>
            <w:tcW w:w="570"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农民满意度</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10.00</w:t>
            </w:r>
          </w:p>
        </w:tc>
        <w:tc>
          <w:tcPr>
            <w:tcW w:w="263"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w:t>
            </w:r>
          </w:p>
        </w:tc>
        <w:tc>
          <w:tcPr>
            <w:tcW w:w="452"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满意度100%</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完成</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预算执行率</w:t>
            </w:r>
          </w:p>
        </w:tc>
        <w:tc>
          <w:tcPr>
            <w:tcW w:w="697"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lef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预算执行率</w:t>
            </w:r>
          </w:p>
        </w:tc>
        <w:tc>
          <w:tcPr>
            <w:tcW w:w="383"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w:t>
            </w:r>
          </w:p>
        </w:tc>
        <w:tc>
          <w:tcPr>
            <w:tcW w:w="263"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391"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280" w:type="pct"/>
            <w:tcBorders>
              <w:top w:val="single" w:color="000000" w:sz="4" w:space="0"/>
              <w:left w:val="single" w:color="000000" w:sz="4" w:space="0"/>
              <w:bottom w:val="single" w:color="000000" w:sz="4" w:space="0"/>
              <w:right w:val="single" w:color="000000" w:sz="4" w:space="0"/>
            </w:tcBorders>
            <w:shd w:val="clear" w:color="auto" w:fill="E9EFF6"/>
            <w:vAlign w:val="top"/>
          </w:tcPr>
          <w:p>
            <w:pPr>
              <w:rPr>
                <w:rFonts w:hint="eastAsia" w:ascii="宋体" w:hAnsi="宋体" w:eastAsia="宋体" w:cs="宋体"/>
                <w:i w:val="0"/>
                <w:color w:val="000000"/>
                <w:sz w:val="10"/>
                <w:szCs w:val="10"/>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color w:val="000000"/>
                <w:sz w:val="10"/>
                <w:szCs w:val="10"/>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Arial" w:hAnsi="Arial" w:eastAsia="宋体" w:cs="Arial"/>
                <w:b/>
                <w:i w:val="0"/>
                <w:color w:val="000000"/>
                <w:sz w:val="10"/>
                <w:szCs w:val="10"/>
                <w:u w:val="none"/>
              </w:rPr>
            </w:pPr>
            <w:r>
              <w:rPr>
                <w:rFonts w:hint="default" w:ascii="Arial" w:hAnsi="Arial" w:eastAsia="宋体" w:cs="Arial"/>
                <w:b/>
                <w:i w:val="0"/>
                <w:color w:val="000000"/>
                <w:kern w:val="0"/>
                <w:sz w:val="10"/>
                <w:szCs w:val="10"/>
                <w:u w:val="none"/>
                <w:lang w:val="en-US" w:eastAsia="zh-CN" w:bidi="ar"/>
              </w:rPr>
              <w:t>自评总分</w:t>
            </w:r>
          </w:p>
        </w:tc>
        <w:tc>
          <w:tcPr>
            <w:tcW w:w="4241" w:type="pct"/>
            <w:gridSpan w:val="10"/>
            <w:tcBorders>
              <w:top w:val="single" w:color="000000" w:sz="4" w:space="0"/>
              <w:left w:val="single" w:color="000000" w:sz="4" w:space="0"/>
              <w:bottom w:val="single" w:color="000000" w:sz="4" w:space="0"/>
              <w:right w:val="single" w:color="000000" w:sz="4" w:space="0"/>
            </w:tcBorders>
            <w:shd w:val="clear" w:color="auto" w:fill="E9EFF6"/>
            <w:vAlign w:val="top"/>
          </w:tcPr>
          <w:p>
            <w:pPr>
              <w:keepNext w:val="0"/>
              <w:keepLines w:val="0"/>
              <w:widowControl/>
              <w:suppressLineNumbers w:val="0"/>
              <w:jc w:val="right"/>
              <w:textAlignment w:val="top"/>
              <w:rPr>
                <w:rFonts w:hint="eastAsia" w:ascii="宋体" w:hAnsi="宋体" w:eastAsia="宋体" w:cs="宋体"/>
                <w:i w:val="0"/>
                <w:color w:val="000000"/>
                <w:sz w:val="10"/>
                <w:szCs w:val="10"/>
                <w:u w:val="none"/>
              </w:rPr>
            </w:pPr>
            <w:r>
              <w:rPr>
                <w:rFonts w:hint="eastAsia" w:ascii="宋体" w:hAnsi="宋体" w:eastAsia="宋体" w:cs="宋体"/>
                <w:i w:val="0"/>
                <w:color w:val="000000"/>
                <w:kern w:val="0"/>
                <w:sz w:val="10"/>
                <w:szCs w:val="10"/>
                <w:u w:val="none"/>
                <w:lang w:val="en-US" w:eastAsia="zh-CN" w:bidi="ar"/>
              </w:rPr>
              <w:t>100</w:t>
            </w:r>
          </w:p>
        </w:tc>
      </w:tr>
    </w:tbl>
    <w:p>
      <w:pPr>
        <w:rPr>
          <w:rFonts w:hint="default" w:ascii="Times New Roman" w:hAnsi="Times New Roman" w:eastAsia="仿宋_GB2312" w:cs="Times New Roman"/>
          <w:sz w:val="18"/>
          <w:szCs w:val="18"/>
          <w:highlight w:val="yellow"/>
          <w:lang w:val="en"/>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国有资本经营预算及政府性基金预算财政拨款</w:t>
      </w:r>
      <w:r>
        <w:rPr>
          <w:rFonts w:hint="default" w:ascii="Times New Roman" w:hAnsi="Times New Roman" w:eastAsia="仿宋_GB2312" w:cs="Times New Roman"/>
          <w:sz w:val="32"/>
          <w:szCs w:val="32"/>
        </w:rPr>
        <w:t>无收支及结转结余情况，故</w:t>
      </w: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国有资本经营预算支出</w:t>
      </w:r>
      <w:r>
        <w:rPr>
          <w:rFonts w:hint="default" w:ascii="Times New Roman" w:hAnsi="Times New Roman" w:eastAsia="仿宋_GB2312" w:cs="Times New Roman"/>
          <w:sz w:val="32"/>
          <w:szCs w:val="32"/>
        </w:rPr>
        <w:t>表</w:t>
      </w:r>
      <w:r>
        <w:rPr>
          <w:rFonts w:hint="eastAsia" w:ascii="Times New Roman" w:hAnsi="Times New Roman" w:eastAsia="仿宋_GB2312" w:cs="Times New Roman"/>
          <w:sz w:val="32"/>
          <w:szCs w:val="32"/>
          <w:lang w:eastAsia="zh-CN"/>
        </w:rPr>
        <w:t>、</w:t>
      </w: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r>
        <w:rPr>
          <w:rFonts w:hint="default" w:ascii="Times New Roman" w:hAnsi="Times New Roman" w:eastAsia="仿宋_GB2312" w:cs="Times New Roman"/>
          <w:sz w:val="32"/>
          <w:szCs w:val="32"/>
        </w:rPr>
        <w:t>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3EAD773-4010-4ECC-BE12-42AF85C8207C}"/>
  </w:font>
  <w:font w:name="黑体">
    <w:panose1 w:val="02010609060101010101"/>
    <w:charset w:val="86"/>
    <w:family w:val="auto"/>
    <w:pitch w:val="default"/>
    <w:sig w:usb0="800002BF" w:usb1="38CF7CFA" w:usb2="00000016" w:usb3="00000000" w:csb0="00040001" w:csb1="00000000"/>
    <w:embedRegular r:id="rId2" w:fontKey="{36B93777-4FF8-4155-B3B6-062E78D134A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833F5017-CEB2-4B3F-860C-04BDD755C13E}"/>
  </w:font>
  <w:font w:name="仿宋">
    <w:panose1 w:val="02010609060101010101"/>
    <w:charset w:val="86"/>
    <w:family w:val="modern"/>
    <w:pitch w:val="default"/>
    <w:sig w:usb0="800002BF" w:usb1="38CF7CFA" w:usb2="00000016" w:usb3="00000000" w:csb0="00040001" w:csb1="00000000"/>
    <w:embedRegular r:id="rId4" w:fontKey="{4D44DE0D-AFDB-42F7-BEE9-05F8CDC644D3}"/>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仿宋_GBK">
    <w:altName w:val="Arial Unicode MS"/>
    <w:panose1 w:val="02000000000000000000"/>
    <w:charset w:val="86"/>
    <w:family w:val="auto"/>
    <w:pitch w:val="default"/>
    <w:sig w:usb0="00000000" w:usb1="00000000" w:usb2="00000000" w:usb3="00000000" w:csb0="00040000" w:csb1="00000000"/>
    <w:embedRegular r:id="rId5" w:fontKey="{0CA4DEDD-B234-4FDB-BDD8-54618C1DC65E}"/>
  </w:font>
  <w:font w:name="方正魏碑简体">
    <w:altName w:val="Arial Unicode MS"/>
    <w:panose1 w:val="00000000000000000000"/>
    <w:charset w:val="86"/>
    <w:family w:val="auto"/>
    <w:pitch w:val="default"/>
    <w:sig w:usb0="00000000" w:usb1="00000000" w:usb2="00000010" w:usb3="00000000" w:csb0="00040000" w:csb1="00000000"/>
    <w:embedRegular r:id="rId6" w:fontKey="{C8BADC2E-03EC-4828-828C-55C071D8B3E3}"/>
  </w:font>
  <w:font w:name="思源黑体 CN Heavy">
    <w:altName w:val="黑体"/>
    <w:panose1 w:val="00000000000000000000"/>
    <w:charset w:val="86"/>
    <w:family w:val="swiss"/>
    <w:pitch w:val="default"/>
    <w:sig w:usb0="00000000" w:usb1="00000000" w:usb2="00000016" w:usb3="00000000" w:csb0="00060107" w:csb1="00000000"/>
    <w:embedRegular r:id="rId7" w:fontKey="{4069F343-2976-41B9-B80C-872C6FCA04B0}"/>
  </w:font>
  <w:font w:name="楷体_GB2312">
    <w:altName w:val="楷体"/>
    <w:panose1 w:val="02010609030101010101"/>
    <w:charset w:val="86"/>
    <w:family w:val="auto"/>
    <w:pitch w:val="default"/>
    <w:sig w:usb0="00000000" w:usb1="00000000" w:usb2="00000000" w:usb3="00000000" w:csb0="00040000" w:csb1="00000000"/>
    <w:embedRegular r:id="rId8" w:fontKey="{25D7B15E-1D09-4AB4-9DEF-F1DBFD8D09B4}"/>
  </w:font>
  <w:font w:name="仿宋_GB2312">
    <w:altName w:val="仿宋"/>
    <w:panose1 w:val="02010609030101010101"/>
    <w:charset w:val="86"/>
    <w:family w:val="auto"/>
    <w:pitch w:val="default"/>
    <w:sig w:usb0="00000000" w:usb1="00000000" w:usb2="00000000" w:usb3="00000000" w:csb0="00040000" w:csb1="00000000"/>
    <w:embedRegular r:id="rId9" w:fontKey="{78F9D237-20BC-42BA-85F2-8FE759F98D4B}"/>
  </w:font>
  <w:font w:name="ArialUnicodeMS">
    <w:altName w:val="Malgun Gothic"/>
    <w:panose1 w:val="00000000000000000000"/>
    <w:charset w:val="81"/>
    <w:family w:val="auto"/>
    <w:pitch w:val="default"/>
    <w:sig w:usb0="00000000" w:usb1="00000000" w:usb2="00000010" w:usb3="00000000" w:csb0="00080001" w:csb1="00000000"/>
    <w:embedRegular r:id="rId10" w:fontKey="{345E6CF7-70C3-4A2E-A1E2-BA690A146D9D}"/>
  </w:font>
  <w:font w:name="方正仿宋_GB2312">
    <w:altName w:val="仿宋"/>
    <w:panose1 w:val="02000000000000000000"/>
    <w:charset w:val="86"/>
    <w:family w:val="auto"/>
    <w:pitch w:val="default"/>
    <w:sig w:usb0="00000000" w:usb1="00000000" w:usb2="00000012" w:usb3="00000000" w:csb0="00040001" w:csb1="00000000"/>
    <w:embedRegular r:id="rId11" w:fontKey="{0865D6D3-B2F8-462C-B41F-A92DEFE0F65E}"/>
  </w:font>
  <w:font w:name="方正书宋_GBK">
    <w:altName w:val="Arial Unicode MS"/>
    <w:panose1 w:val="02000000000000000000"/>
    <w:charset w:val="86"/>
    <w:family w:val="auto"/>
    <w:pitch w:val="default"/>
    <w:sig w:usb0="00000000" w:usb1="00000000" w:usb2="00000000" w:usb3="00000000" w:csb0="00040000" w:csb1="00000000"/>
    <w:embedRegular r:id="rId12" w:fontKey="{C1D4243D-6916-43C3-A194-0C680616E2A8}"/>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kYzQyYzRmMTI0N2JhNzAxZDc0NTQ3ZmEwODUwNzQyZSIsInVzZXJDb3VudCI6MX0="/>
    <w:docVar w:name="KSO_WPS_MARK_KEY" w:val="89143e8a-8d93-444f-bd6a-239f5fab07ac"/>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7FF947"/>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DFAF40"/>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1FED7A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D462C2"/>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EFA7CCD"/>
    <w:rsid w:val="5F2C5C7C"/>
    <w:rsid w:val="5F36141C"/>
    <w:rsid w:val="5F4FB0B0"/>
    <w:rsid w:val="5FC5273F"/>
    <w:rsid w:val="5FDFFC63"/>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3BC6B3"/>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BE78E2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6A494A"/>
    <w:rsid w:val="6EEB4AC4"/>
    <w:rsid w:val="6F212DD6"/>
    <w:rsid w:val="6F3B5912"/>
    <w:rsid w:val="6FA14A81"/>
    <w:rsid w:val="6FA3261F"/>
    <w:rsid w:val="6FBB27F8"/>
    <w:rsid w:val="6FBDDE55"/>
    <w:rsid w:val="6FFF438D"/>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EF2C76"/>
    <w:rsid w:val="74F85778"/>
    <w:rsid w:val="75272439"/>
    <w:rsid w:val="757DE146"/>
    <w:rsid w:val="758F1E9B"/>
    <w:rsid w:val="75CE266B"/>
    <w:rsid w:val="76120141"/>
    <w:rsid w:val="768216BE"/>
    <w:rsid w:val="76C23B43"/>
    <w:rsid w:val="76FD6F97"/>
    <w:rsid w:val="770218E8"/>
    <w:rsid w:val="779469CE"/>
    <w:rsid w:val="77C875A5"/>
    <w:rsid w:val="77D69B5C"/>
    <w:rsid w:val="78A27DF6"/>
    <w:rsid w:val="79285B3A"/>
    <w:rsid w:val="79625CA9"/>
    <w:rsid w:val="79A91196"/>
    <w:rsid w:val="7A0B32D3"/>
    <w:rsid w:val="7A143DBD"/>
    <w:rsid w:val="7AC13CD3"/>
    <w:rsid w:val="7AE10264"/>
    <w:rsid w:val="7AE4248E"/>
    <w:rsid w:val="7B4A207F"/>
    <w:rsid w:val="7B936F45"/>
    <w:rsid w:val="7BA47419"/>
    <w:rsid w:val="7BB10D45"/>
    <w:rsid w:val="7BB44151"/>
    <w:rsid w:val="7C656A39"/>
    <w:rsid w:val="7CB93996"/>
    <w:rsid w:val="7CBE0F99"/>
    <w:rsid w:val="7D334D63"/>
    <w:rsid w:val="7D4E45F1"/>
    <w:rsid w:val="7DFA4416"/>
    <w:rsid w:val="7DFB6D82"/>
    <w:rsid w:val="7E1D71D1"/>
    <w:rsid w:val="7E246254"/>
    <w:rsid w:val="7E6D090F"/>
    <w:rsid w:val="7ECC66B2"/>
    <w:rsid w:val="7F2914C3"/>
    <w:rsid w:val="7F5F2ED6"/>
    <w:rsid w:val="7F7D58EC"/>
    <w:rsid w:val="7FA837EF"/>
    <w:rsid w:val="7FC36955"/>
    <w:rsid w:val="7FE903A0"/>
    <w:rsid w:val="7FEBB6C5"/>
    <w:rsid w:val="7FF07065"/>
    <w:rsid w:val="7FF97946"/>
    <w:rsid w:val="7FFE7888"/>
    <w:rsid w:val="83FF3B46"/>
    <w:rsid w:val="8F1FBE5C"/>
    <w:rsid w:val="9D4B5CFF"/>
    <w:rsid w:val="BA7B23C6"/>
    <w:rsid w:val="D1DD7851"/>
    <w:rsid w:val="D3BF98A5"/>
    <w:rsid w:val="D7DE4DE3"/>
    <w:rsid w:val="D97F8E7C"/>
    <w:rsid w:val="DF7C8632"/>
    <w:rsid w:val="DFF7E9E8"/>
    <w:rsid w:val="E1875A5E"/>
    <w:rsid w:val="E7DBBF8E"/>
    <w:rsid w:val="E9F71EFB"/>
    <w:rsid w:val="EF47365D"/>
    <w:rsid w:val="F5ED8E8B"/>
    <w:rsid w:val="F7DD8F4E"/>
    <w:rsid w:val="FB7E255A"/>
    <w:rsid w:val="FE734873"/>
    <w:rsid w:val="FFFB1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部门职责文件"/>
    <w:basedOn w:val="1"/>
    <w:qFormat/>
    <w:uiPriority w:val="0"/>
    <w:pPr>
      <w:spacing w:line="500" w:lineRule="exact"/>
      <w:ind w:firstLine="560"/>
    </w:pPr>
    <w:rPr>
      <w:rFonts w:eastAsia="方正仿宋_GBK"/>
      <w:sz w:val="28"/>
    </w:rPr>
  </w:style>
  <w:style w:type="paragraph" w:customStyle="1" w:styleId="26">
    <w:name w:val="插入文本样式-插入预算公开部门职责文件"/>
    <w:basedOn w:val="1"/>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2022</a:t>
            </a:r>
            <a:r>
              <a:rPr altLang="en-US"/>
              <a:t>年与</a:t>
            </a:r>
            <a:r>
              <a:rPr lang="en-US" altLang="zh-CN"/>
              <a:t>2023</a:t>
            </a:r>
            <a:r>
              <a:rPr altLang="en-US"/>
              <a:t>年收支对比图</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35314.41</c:v>
                </c:pt>
                <c:pt idx="1">
                  <c:v>35315.41</c:v>
                </c:pt>
              </c:numCache>
            </c:numRef>
          </c:val>
        </c:ser>
        <c:ser>
          <c:idx val="1"/>
          <c:order val="1"/>
          <c:tx>
            <c:strRef>
              <c:f>Sheet1!$C$1</c:f>
              <c:strCache>
                <c:ptCount val="1"/>
                <c:pt idx="0">
                  <c:v>2023年度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1152.28</c:v>
                </c:pt>
                <c:pt idx="1">
                  <c:v>1153.28</c:v>
                </c:pt>
              </c:numCache>
            </c:numRef>
          </c:val>
        </c:ser>
        <c:ser>
          <c:idx val="2"/>
          <c:order val="2"/>
          <c:tx>
            <c:strRef>
              <c:f>Sheet1!#REF!</c:f>
              <c:strCache>
                <c:ptCount val="1"/>
                <c:pt idx="0">
                  <c:v/>
                </c:pt>
              </c:strCache>
            </c:strRef>
          </c:tx>
          <c:spPr>
            <a:solidFill>
              <a:schemeClr val="bg1"/>
            </a:solidFill>
            <a:ln>
              <a:noFill/>
            </a:ln>
            <a:effectLst/>
          </c:spPr>
          <c:invertIfNegative val="0"/>
          <c:dLbls>
            <c:delete val="1"/>
          </c:dLbls>
          <c:cat>
            <c:strRef>
              <c:f>Sheet1!$A$2:$A$3</c:f>
              <c:strCache>
                <c:ptCount val="2"/>
                <c:pt idx="0">
                  <c:v>收入</c:v>
                </c:pt>
                <c:pt idx="1">
                  <c:v>支出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55739104"/>
        <c:axId val="903063500"/>
      </c:barChart>
      <c:catAx>
        <c:axId val="557391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3063500"/>
        <c:crosses val="autoZero"/>
        <c:auto val="1"/>
        <c:lblAlgn val="ctr"/>
        <c:lblOffset val="100"/>
        <c:noMultiLvlLbl val="0"/>
      </c:catAx>
      <c:valAx>
        <c:axId val="9030635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739104"/>
        <c:crosses val="autoZero"/>
        <c:crossBetween val="between"/>
      </c:valAx>
      <c:spPr>
        <a:noFill/>
        <a:ln>
          <a:noFill/>
        </a:ln>
        <a:effectLst/>
      </c:spPr>
    </c:plotArea>
    <c:legend>
      <c:legendPos val="r"/>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支出情况图</a:t>
            </a:r>
            <a:endParaRPr lang="en-US" altLang="zh-CN"/>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0.9168</c:v>
                </c:pt>
                <c:pt idx="1">
                  <c:v>0.0832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585625"/>
          <c:y val="0.924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财政拨款收支与</a:t>
            </a:r>
            <a:r>
              <a:rPr lang="en-US" altLang="zh-CN"/>
              <a:t>2022</a:t>
            </a:r>
            <a:r>
              <a:rPr altLang="en-US"/>
              <a:t>年</a:t>
            </a:r>
            <a:r>
              <a:t>对比</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一般公共预算</c:v>
                </c:pt>
                <c:pt idx="1">
                  <c:v>政府性基金预算</c:v>
                </c:pt>
                <c:pt idx="2">
                  <c:v>国有资本经营预算</c:v>
                </c:pt>
              </c:strCache>
            </c:strRef>
          </c:cat>
          <c:val>
            <c:numRef>
              <c:f>Sheet1!$B$2:$B$3</c:f>
              <c:numCache>
                <c:formatCode>General</c:formatCode>
                <c:ptCount val="2"/>
                <c:pt idx="0">
                  <c:v>1081.17</c:v>
                </c:pt>
                <c:pt idx="1">
                  <c:v>34000</c:v>
                </c:pt>
              </c:numCache>
            </c:numRef>
          </c:val>
        </c:ser>
        <c:ser>
          <c:idx val="1"/>
          <c:order val="1"/>
          <c:tx>
            <c:strRef>
              <c:f>Sheet1!$C$1</c:f>
              <c:strCache>
                <c:ptCount val="1"/>
                <c:pt idx="0">
                  <c:v>2023年度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一般公共预算</c:v>
                </c:pt>
                <c:pt idx="1">
                  <c:v>政府性基金预算</c:v>
                </c:pt>
                <c:pt idx="2">
                  <c:v>国有资本经营预算</c:v>
                </c:pt>
              </c:strCache>
            </c:strRef>
          </c:cat>
          <c:val>
            <c:numRef>
              <c:f>Sheet1!$C$2:$C$3</c:f>
              <c:numCache>
                <c:formatCode>#,##0.00</c:formatCode>
                <c:ptCount val="2"/>
                <c:pt idx="0">
                  <c:v>1153.28</c:v>
                </c:pt>
                <c:pt idx="1" c:formatCode="General">
                  <c:v>0</c:v>
                </c:pt>
              </c:numCache>
            </c:numRef>
          </c:val>
        </c:ser>
        <c:dLbls>
          <c:showLegendKey val="0"/>
          <c:showVal val="0"/>
          <c:showCatName val="0"/>
          <c:showSerName val="0"/>
          <c:showPercent val="0"/>
          <c:showBubbleSize val="0"/>
        </c:dLbls>
        <c:gapWidth val="219"/>
        <c:overlap val="-27"/>
        <c:axId val="88460022"/>
        <c:axId val="280048348"/>
      </c:barChart>
      <c:catAx>
        <c:axId val="8846002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0048348"/>
        <c:crosses val="autoZero"/>
        <c:auto val="1"/>
        <c:lblAlgn val="ctr"/>
        <c:lblOffset val="100"/>
        <c:noMultiLvlLbl val="0"/>
      </c:catAx>
      <c:valAx>
        <c:axId val="2800483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46002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财政拨款收支与年初预算对比</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一般公共预算</c:v>
                </c:pt>
                <c:pt idx="1">
                  <c:v>政府性基金预算</c:v>
                </c:pt>
                <c:pt idx="2">
                  <c:v>国有资本经营预算</c:v>
                </c:pt>
              </c:strCache>
            </c:strRef>
          </c:cat>
          <c:val>
            <c:numRef>
              <c:f>Sheet1!$B$2:$B$4</c:f>
              <c:numCache>
                <c:formatCode>General</c:formatCode>
                <c:ptCount val="3"/>
                <c:pt idx="0">
                  <c:v>1040.14</c:v>
                </c:pt>
                <c:pt idx="1">
                  <c:v>0</c:v>
                </c:pt>
                <c:pt idx="2">
                  <c:v>0</c:v>
                </c:pt>
              </c:numCache>
            </c:numRef>
          </c:val>
        </c:ser>
        <c:ser>
          <c:idx val="1"/>
          <c:order val="1"/>
          <c:tx>
            <c:strRef>
              <c:f>Sheet1!$C$1</c:f>
              <c:strCache>
                <c:ptCount val="1"/>
                <c:pt idx="0">
                  <c:v>决算</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一般公共预算</c:v>
                </c:pt>
                <c:pt idx="1">
                  <c:v>政府性基金预算</c:v>
                </c:pt>
                <c:pt idx="2">
                  <c:v>国有资本经营预算</c:v>
                </c:pt>
              </c:strCache>
            </c:strRef>
          </c:cat>
          <c:val>
            <c:numRef>
              <c:f>Sheet1!$C$2:$C$4</c:f>
              <c:numCache>
                <c:formatCode>General</c:formatCode>
                <c:ptCount val="3"/>
                <c:pt idx="0">
                  <c:v>1153.28</c:v>
                </c:pt>
                <c:pt idx="1">
                  <c:v>0</c:v>
                </c:pt>
                <c:pt idx="2">
                  <c:v>0</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Sheet1!$A$2:$A$4</c:f>
              <c:strCache>
                <c:ptCount val="3"/>
                <c:pt idx="0">
                  <c:v>一般公共预算</c:v>
                </c:pt>
                <c:pt idx="1">
                  <c:v>政府性基金预算</c:v>
                </c:pt>
                <c:pt idx="2">
                  <c:v>国有资本经营预算</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663163505"/>
        <c:axId val="442060066"/>
      </c:barChart>
      <c:catAx>
        <c:axId val="66316350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2060066"/>
        <c:crosses val="autoZero"/>
        <c:auto val="1"/>
        <c:lblAlgn val="ctr"/>
        <c:lblOffset val="100"/>
        <c:noMultiLvlLbl val="0"/>
      </c:catAx>
      <c:valAx>
        <c:axId val="44206006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3163505"/>
        <c:crosses val="autoZero"/>
        <c:crossBetween val="between"/>
      </c:valAx>
      <c:spPr>
        <a:noFill/>
        <a:ln>
          <a:noFill/>
        </a:ln>
        <a:effectLst/>
      </c:spPr>
    </c:plotArea>
    <c:legend>
      <c:legendPos val="b"/>
      <c:legendEntry>
        <c:idx val="2"/>
        <c:delete val="1"/>
      </c:legendEntry>
      <c:layout>
        <c:manualLayout>
          <c:xMode val="edge"/>
          <c:yMode val="edge"/>
          <c:x val="0.384375"/>
          <c:y val="0.939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36</Pages>
  <Words>9164</Words>
  <Characters>11522</Characters>
  <Lines>86</Lines>
  <Paragraphs>24</Paragraphs>
  <TotalTime>2</TotalTime>
  <ScaleCrop>false</ScaleCrop>
  <LinksUpToDate>false</LinksUpToDate>
  <CharactersWithSpaces>12134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2023-08-05T15:55:00Z</dcterms:created>
  <dc:creator>王明新TIAD</dc:creator>
  <cp:lastModifiedBy>Administrator</cp:lastModifiedBy>
  <cp:lastPrinted>2023-08-05T09:00:00Z</cp:lastPrinted>
  <dcterms:modified xsi:type="dcterms:W3CDTF">2024-09-27T07:04:02Z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