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b/>
          <w:color w:val="000000"/>
          <w:sz w:val="72"/>
        </w:rPr>
      </w:pPr>
    </w:p>
    <w:p>
      <w:pPr>
        <w:jc w:val="center"/>
        <w:rPr>
          <w:rFonts w:ascii="宋体" w:hAnsi="宋体" w:eastAsia="宋体"/>
          <w:b/>
          <w:color w:val="000000"/>
          <w:sz w:val="72"/>
        </w:rPr>
      </w:pPr>
      <w:r>
        <w:rPr>
          <w:rFonts w:ascii="宋体" w:hAnsi="宋体" w:eastAsia="宋体"/>
          <w:b/>
          <w:color w:val="000000"/>
          <w:sz w:val="72"/>
        </w:rPr>
        <w:t>2022年唐山市部门预算（草案）</w:t>
      </w:r>
    </w:p>
    <w:p>
      <w:pPr>
        <w:jc w:val="center"/>
        <w:rPr>
          <w:rFonts w:ascii="宋体" w:hAnsi="宋体" w:eastAsia="宋体"/>
          <w:b/>
          <w:color w:val="000000"/>
          <w:sz w:val="72"/>
        </w:rPr>
      </w:pPr>
    </w:p>
    <w:p>
      <w:pPr>
        <w:jc w:val="center"/>
        <w:rPr>
          <w:rFonts w:ascii="楷体" w:hAnsi="宋体" w:eastAsia="楷体"/>
          <w:b/>
          <w:color w:val="000000"/>
          <w:sz w:val="52"/>
        </w:rPr>
      </w:pPr>
      <w:r>
        <w:rPr>
          <w:rFonts w:ascii="楷体" w:hAnsi="宋体" w:eastAsia="楷体"/>
          <w:b/>
          <w:color w:val="000000"/>
          <w:sz w:val="52"/>
        </w:rPr>
        <w:t>唐山市供销合作总社</w:t>
      </w:r>
    </w:p>
    <w:p>
      <w:pPr>
        <w:jc w:val="center"/>
        <w:rPr>
          <w:rFonts w:ascii="楷体" w:hAnsi="宋体" w:eastAsia="楷体"/>
          <w:b/>
          <w:color w:val="000000"/>
          <w:sz w:val="52"/>
        </w:rPr>
      </w:pPr>
    </w:p>
    <w:p>
      <w:pPr>
        <w:jc w:val="center"/>
        <w:rPr>
          <w:rFonts w:ascii="楷体" w:hAnsi="宋体" w:eastAsia="楷体"/>
          <w:b/>
          <w:color w:val="000000"/>
          <w:sz w:val="52"/>
        </w:rPr>
      </w:pPr>
    </w:p>
    <w:p>
      <w:pPr>
        <w:jc w:val="center"/>
        <w:rPr>
          <w:rFonts w:ascii="楷体" w:hAnsi="宋体" w:eastAsia="楷体"/>
          <w:b/>
          <w:color w:val="000000"/>
          <w:sz w:val="52"/>
        </w:rPr>
      </w:pPr>
    </w:p>
    <w:p>
      <w:pPr>
        <w:jc w:val="center"/>
        <w:rPr>
          <w:rFonts w:ascii="楷体" w:hAnsi="宋体" w:eastAsia="楷体"/>
          <w:b/>
          <w:color w:val="000000"/>
          <w:sz w:val="52"/>
        </w:rPr>
      </w:pPr>
    </w:p>
    <w:p>
      <w:pPr>
        <w:jc w:val="center"/>
        <w:rPr>
          <w:rFonts w:ascii="楷体" w:hAnsi="宋体" w:eastAsia="楷体"/>
          <w:b/>
          <w:color w:val="000000"/>
          <w:sz w:val="52"/>
        </w:rPr>
      </w:pPr>
    </w:p>
    <w:p>
      <w:pPr>
        <w:jc w:val="center"/>
        <w:rPr>
          <w:rFonts w:ascii="楷体" w:hAnsi="宋体" w:eastAsia="楷体"/>
          <w:b/>
          <w:color w:val="000000"/>
          <w:sz w:val="52"/>
        </w:rPr>
      </w:pPr>
    </w:p>
    <w:p>
      <w:pPr>
        <w:jc w:val="center"/>
        <w:rPr>
          <w:rFonts w:ascii="楷体" w:hAnsi="宋体" w:eastAsia="楷体"/>
          <w:b/>
          <w:color w:val="000000"/>
          <w:sz w:val="52"/>
        </w:rPr>
      </w:pPr>
      <w:r>
        <w:rPr>
          <w:rFonts w:ascii="楷体" w:hAnsi="宋体" w:eastAsia="楷体"/>
          <w:b/>
          <w:color w:val="000000"/>
          <w:sz w:val="52"/>
        </w:rPr>
        <w:t>唐山市供销合作总社编制</w:t>
      </w:r>
    </w:p>
    <w:p>
      <w:pPr>
        <w:jc w:val="center"/>
        <w:rPr>
          <w:rFonts w:ascii="楷体" w:hAnsi="宋体" w:eastAsia="楷体"/>
          <w:b/>
          <w:color w:val="000000"/>
          <w:sz w:val="52"/>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pPr>
      <w:r>
        <w:rPr>
          <w:rFonts w:ascii="楷体" w:hAnsi="宋体" w:eastAsia="楷体"/>
          <w:b/>
          <w:color w:val="000000"/>
          <w:sz w:val="52"/>
        </w:rPr>
        <w:t>唐山市财政局审核</w:t>
      </w:r>
    </w:p>
    <w:p>
      <w:pPr>
        <w:jc w:val="center"/>
        <w:rPr>
          <w:rFonts w:ascii="宋体" w:hAnsi="宋体" w:eastAsia="宋体"/>
          <w:b/>
          <w:color w:val="000000"/>
          <w:sz w:val="32"/>
        </w:rPr>
      </w:pPr>
      <w:r>
        <w:rPr>
          <w:rFonts w:ascii="宋体" w:hAnsi="宋体" w:eastAsia="宋体"/>
          <w:b/>
          <w:color w:val="000000"/>
          <w:sz w:val="32"/>
        </w:rPr>
        <w:t>目 录</w:t>
      </w:r>
      <w:r>
        <w:rPr>
          <w:rFonts w:ascii="宋体" w:hAnsi="宋体" w:eastAsia="宋体"/>
          <w:b/>
          <w:color w:val="000000"/>
          <w:sz w:val="32"/>
        </w:rPr>
        <w:fldChar w:fldCharType="begin"/>
      </w:r>
      <w:r>
        <w:rPr>
          <w:rFonts w:ascii="宋体" w:hAnsi="宋体" w:eastAsia="宋体"/>
          <w:b/>
          <w:color w:val="000000"/>
          <w:sz w:val="32"/>
        </w:rPr>
        <w:instrText xml:space="preserve"> TOC \o "1-3" \h \u </w:instrText>
      </w:r>
      <w:r>
        <w:rPr>
          <w:rFonts w:ascii="宋体" w:hAnsi="宋体" w:eastAsia="宋体"/>
          <w:b/>
          <w:color w:val="000000"/>
          <w:sz w:val="32"/>
        </w:rPr>
        <w:fldChar w:fldCharType="separate"/>
      </w:r>
    </w:p>
    <w:p>
      <w:pPr>
        <w:pStyle w:val="6"/>
        <w:tabs>
          <w:tab w:val="right" w:leader="dot" w:pos="8296"/>
        </w:tabs>
        <w:rPr>
          <w:rFonts w:ascii="宋体" w:hAnsi="宋体" w:eastAsia="宋体"/>
          <w:b/>
          <w:color w:val="000000"/>
          <w:sz w:val="32"/>
        </w:rPr>
      </w:pPr>
      <w:r>
        <w:fldChar w:fldCharType="begin"/>
      </w:r>
      <w:r>
        <w:instrText xml:space="preserve"> HYPERLINK \l "_Toc91779122" </w:instrText>
      </w:r>
      <w:r>
        <w:fldChar w:fldCharType="separate"/>
      </w:r>
      <w:r>
        <w:rPr>
          <w:rStyle w:val="11"/>
          <w:rFonts w:hint="eastAsia" w:ascii="宋体" w:hAnsi="宋体" w:eastAsia="宋体"/>
          <w:b/>
          <w:color w:val="000000"/>
          <w:sz w:val="32"/>
          <w:u w:val="none"/>
        </w:rPr>
        <w:t>部</w:t>
      </w:r>
      <w:r>
        <w:rPr>
          <w:rStyle w:val="11"/>
          <w:rFonts w:ascii="宋体" w:hAnsi="宋体" w:eastAsia="宋体"/>
          <w:b/>
          <w:color w:val="000000"/>
          <w:sz w:val="32"/>
          <w:u w:val="none"/>
        </w:rPr>
        <w:t xml:space="preserve"> </w:t>
      </w:r>
      <w:r>
        <w:rPr>
          <w:rStyle w:val="11"/>
          <w:rFonts w:hint="eastAsia" w:ascii="宋体" w:hAnsi="宋体" w:eastAsia="宋体"/>
          <w:b/>
          <w:color w:val="000000"/>
          <w:sz w:val="32"/>
          <w:u w:val="none"/>
        </w:rPr>
        <w:t>门</w:t>
      </w:r>
      <w:r>
        <w:rPr>
          <w:rStyle w:val="11"/>
          <w:rFonts w:ascii="宋体" w:hAnsi="宋体" w:eastAsia="宋体"/>
          <w:b/>
          <w:color w:val="000000"/>
          <w:sz w:val="32"/>
          <w:u w:val="none"/>
        </w:rPr>
        <w:t xml:space="preserve"> </w:t>
      </w:r>
      <w:r>
        <w:rPr>
          <w:rStyle w:val="11"/>
          <w:rFonts w:hint="eastAsia" w:ascii="宋体" w:hAnsi="宋体" w:eastAsia="宋体"/>
          <w:b/>
          <w:color w:val="000000"/>
          <w:sz w:val="32"/>
          <w:u w:val="none"/>
        </w:rPr>
        <w:t>概</w:t>
      </w:r>
      <w:r>
        <w:rPr>
          <w:rStyle w:val="11"/>
          <w:rFonts w:ascii="宋体" w:hAnsi="宋体" w:eastAsia="宋体"/>
          <w:b/>
          <w:color w:val="000000"/>
          <w:sz w:val="32"/>
          <w:u w:val="none"/>
        </w:rPr>
        <w:t xml:space="preserve"> </w:t>
      </w:r>
      <w:r>
        <w:rPr>
          <w:rStyle w:val="11"/>
          <w:rFonts w:hint="eastAsia" w:ascii="宋体" w:hAnsi="宋体" w:eastAsia="宋体"/>
          <w:b/>
          <w:color w:val="000000"/>
          <w:sz w:val="32"/>
          <w:u w:val="none"/>
        </w:rPr>
        <w:t>况</w:t>
      </w:r>
      <w:r>
        <w:rPr>
          <w:rFonts w:ascii="宋体" w:hAnsi="宋体" w:eastAsia="宋体"/>
          <w:b/>
          <w:color w:val="000000"/>
          <w:sz w:val="32"/>
        </w:rPr>
        <w:tab/>
      </w:r>
      <w:r>
        <w:rPr>
          <w:rFonts w:ascii="宋体" w:hAnsi="宋体" w:eastAsia="宋体"/>
          <w:b/>
          <w:color w:val="000000"/>
          <w:sz w:val="32"/>
        </w:rPr>
        <w:fldChar w:fldCharType="begin"/>
      </w:r>
      <w:r>
        <w:rPr>
          <w:rFonts w:ascii="宋体" w:hAnsi="宋体" w:eastAsia="宋体"/>
          <w:b/>
          <w:color w:val="000000"/>
          <w:sz w:val="32"/>
        </w:rPr>
        <w:instrText xml:space="preserve"> PAGEREF _Toc91779122 \h </w:instrText>
      </w:r>
      <w:r>
        <w:rPr>
          <w:rFonts w:ascii="宋体" w:hAnsi="宋体" w:eastAsia="宋体"/>
          <w:b/>
          <w:color w:val="000000"/>
          <w:sz w:val="32"/>
        </w:rPr>
        <w:fldChar w:fldCharType="separate"/>
      </w:r>
      <w:r>
        <w:rPr>
          <w:rFonts w:ascii="宋体" w:hAnsi="宋体" w:eastAsia="宋体"/>
          <w:b/>
          <w:color w:val="000000"/>
          <w:sz w:val="32"/>
        </w:rPr>
        <w:t>1</w:t>
      </w:r>
      <w:r>
        <w:rPr>
          <w:rFonts w:ascii="宋体" w:hAnsi="宋体" w:eastAsia="宋体"/>
          <w:b/>
          <w:color w:val="000000"/>
          <w:sz w:val="32"/>
        </w:rPr>
        <w:fldChar w:fldCharType="end"/>
      </w:r>
      <w:r>
        <w:rPr>
          <w:rFonts w:ascii="宋体" w:hAnsi="宋体" w:eastAsia="宋体"/>
          <w:b/>
          <w:color w:val="000000"/>
          <w:sz w:val="32"/>
        </w:rPr>
        <w:fldChar w:fldCharType="end"/>
      </w:r>
    </w:p>
    <w:p>
      <w:pPr>
        <w:pStyle w:val="6"/>
        <w:tabs>
          <w:tab w:val="right" w:leader="dot" w:pos="8296"/>
        </w:tabs>
        <w:rPr>
          <w:rFonts w:ascii="宋体" w:hAnsi="宋体" w:eastAsia="宋体"/>
          <w:b/>
          <w:color w:val="000000"/>
          <w:sz w:val="32"/>
        </w:rPr>
      </w:pPr>
      <w:r>
        <w:fldChar w:fldCharType="begin"/>
      </w:r>
      <w:r>
        <w:instrText xml:space="preserve"> HYPERLINK \l "_Toc91779123" </w:instrText>
      </w:r>
      <w:r>
        <w:fldChar w:fldCharType="separate"/>
      </w:r>
      <w:r>
        <w:rPr>
          <w:rStyle w:val="11"/>
          <w:rFonts w:hint="eastAsia" w:ascii="宋体" w:hAnsi="宋体" w:eastAsia="宋体"/>
          <w:b/>
          <w:color w:val="000000"/>
          <w:sz w:val="32"/>
          <w:u w:val="none"/>
        </w:rPr>
        <w:t>部门收支预算总表</w:t>
      </w:r>
      <w:r>
        <w:rPr>
          <w:rFonts w:ascii="宋体" w:hAnsi="宋体" w:eastAsia="宋体"/>
          <w:b/>
          <w:color w:val="000000"/>
          <w:sz w:val="32"/>
        </w:rPr>
        <w:tab/>
      </w:r>
      <w:r>
        <w:rPr>
          <w:rFonts w:hint="eastAsia" w:ascii="宋体" w:hAnsi="宋体" w:eastAsia="宋体"/>
          <w:b/>
          <w:color w:val="000000"/>
          <w:sz w:val="32"/>
          <w:lang w:val="en-US" w:eastAsia="zh-CN"/>
        </w:rPr>
        <w:t>9</w:t>
      </w:r>
      <w:r>
        <w:rPr>
          <w:rFonts w:ascii="宋体" w:hAnsi="宋体" w:eastAsia="宋体"/>
          <w:b/>
          <w:color w:val="000000"/>
          <w:sz w:val="32"/>
        </w:rPr>
        <w:fldChar w:fldCharType="end"/>
      </w:r>
    </w:p>
    <w:p>
      <w:pPr>
        <w:pStyle w:val="6"/>
        <w:tabs>
          <w:tab w:val="right" w:leader="dot" w:pos="8296"/>
        </w:tabs>
        <w:rPr>
          <w:rFonts w:ascii="宋体" w:hAnsi="宋体" w:eastAsia="宋体"/>
          <w:b/>
          <w:color w:val="000000"/>
          <w:sz w:val="32"/>
        </w:rPr>
      </w:pPr>
      <w:r>
        <w:fldChar w:fldCharType="begin"/>
      </w:r>
      <w:r>
        <w:instrText xml:space="preserve"> HYPERLINK \l "_Toc91779124" </w:instrText>
      </w:r>
      <w:r>
        <w:fldChar w:fldCharType="separate"/>
      </w:r>
      <w:r>
        <w:rPr>
          <w:rStyle w:val="11"/>
          <w:rFonts w:hint="eastAsia" w:ascii="宋体" w:hAnsi="宋体" w:eastAsia="宋体"/>
          <w:b/>
          <w:color w:val="000000"/>
          <w:sz w:val="32"/>
          <w:u w:val="none"/>
        </w:rPr>
        <w:t>部门基本支出预算表</w:t>
      </w:r>
      <w:r>
        <w:rPr>
          <w:rFonts w:ascii="宋体" w:hAnsi="宋体" w:eastAsia="宋体"/>
          <w:b/>
          <w:color w:val="000000"/>
          <w:sz w:val="32"/>
        </w:rPr>
        <w:tab/>
      </w:r>
      <w:r>
        <w:rPr>
          <w:rFonts w:ascii="宋体" w:hAnsi="宋体" w:eastAsia="宋体"/>
          <w:b/>
          <w:color w:val="000000"/>
          <w:sz w:val="32"/>
        </w:rPr>
        <w:fldChar w:fldCharType="begin"/>
      </w:r>
      <w:r>
        <w:rPr>
          <w:rFonts w:ascii="宋体" w:hAnsi="宋体" w:eastAsia="宋体"/>
          <w:b/>
          <w:color w:val="000000"/>
          <w:sz w:val="32"/>
        </w:rPr>
        <w:instrText xml:space="preserve"> PAGEREF _Toc91779124 \h </w:instrText>
      </w:r>
      <w:r>
        <w:rPr>
          <w:rFonts w:ascii="宋体" w:hAnsi="宋体" w:eastAsia="宋体"/>
          <w:b/>
          <w:color w:val="000000"/>
          <w:sz w:val="32"/>
        </w:rPr>
        <w:fldChar w:fldCharType="separate"/>
      </w:r>
      <w:r>
        <w:rPr>
          <w:rFonts w:ascii="宋体" w:hAnsi="宋体" w:eastAsia="宋体"/>
          <w:b/>
          <w:color w:val="000000"/>
          <w:sz w:val="32"/>
        </w:rPr>
        <w:t>1</w:t>
      </w:r>
      <w:r>
        <w:rPr>
          <w:rFonts w:hint="eastAsia" w:ascii="宋体" w:hAnsi="宋体" w:eastAsia="宋体"/>
          <w:b/>
          <w:color w:val="000000"/>
          <w:sz w:val="32"/>
          <w:lang w:val="en-US" w:eastAsia="zh-CN"/>
        </w:rPr>
        <w:t>0</w:t>
      </w:r>
      <w:r>
        <w:rPr>
          <w:rFonts w:ascii="宋体" w:hAnsi="宋体" w:eastAsia="宋体"/>
          <w:b/>
          <w:color w:val="000000"/>
          <w:sz w:val="32"/>
        </w:rPr>
        <w:fldChar w:fldCharType="end"/>
      </w:r>
      <w:r>
        <w:rPr>
          <w:rFonts w:ascii="宋体" w:hAnsi="宋体" w:eastAsia="宋体"/>
          <w:b/>
          <w:color w:val="000000"/>
          <w:sz w:val="32"/>
        </w:rPr>
        <w:fldChar w:fldCharType="end"/>
      </w:r>
    </w:p>
    <w:p>
      <w:pPr>
        <w:pStyle w:val="6"/>
        <w:tabs>
          <w:tab w:val="right" w:leader="dot" w:pos="8296"/>
        </w:tabs>
        <w:rPr>
          <w:rFonts w:hint="eastAsia" w:ascii="宋体" w:hAnsi="宋体" w:eastAsia="宋体"/>
          <w:b/>
          <w:color w:val="000000"/>
          <w:sz w:val="32"/>
          <w:lang w:val="en-US" w:eastAsia="zh-CN"/>
        </w:rPr>
      </w:pPr>
      <w:r>
        <w:fldChar w:fldCharType="begin"/>
      </w:r>
      <w:r>
        <w:instrText xml:space="preserve"> HYPERLINK \l "_Toc91779125" </w:instrText>
      </w:r>
      <w:r>
        <w:fldChar w:fldCharType="separate"/>
      </w:r>
      <w:r>
        <w:rPr>
          <w:rStyle w:val="11"/>
          <w:rFonts w:hint="eastAsia" w:ascii="宋体" w:hAnsi="宋体" w:eastAsia="宋体"/>
          <w:b/>
          <w:color w:val="000000"/>
          <w:sz w:val="32"/>
          <w:u w:val="none"/>
        </w:rPr>
        <w:t>部门项目支出预算</w:t>
      </w:r>
      <w:r>
        <w:rPr>
          <w:rFonts w:ascii="宋体" w:hAnsi="宋体" w:eastAsia="宋体"/>
          <w:b/>
          <w:color w:val="000000"/>
          <w:sz w:val="32"/>
        </w:rPr>
        <w:tab/>
      </w:r>
      <w:r>
        <w:rPr>
          <w:rFonts w:hint="eastAsia" w:ascii="宋体" w:hAnsi="宋体" w:eastAsia="宋体"/>
          <w:b/>
          <w:color w:val="000000"/>
          <w:sz w:val="32"/>
          <w:lang w:val="en-US" w:eastAsia="zh-CN"/>
        </w:rPr>
        <w:t>2</w:t>
      </w:r>
      <w:r>
        <w:rPr>
          <w:rFonts w:ascii="宋体" w:hAnsi="宋体" w:eastAsia="宋体"/>
          <w:b/>
          <w:color w:val="000000"/>
          <w:sz w:val="32"/>
        </w:rPr>
        <w:fldChar w:fldCharType="end"/>
      </w:r>
      <w:r>
        <w:rPr>
          <w:rFonts w:hint="eastAsia" w:ascii="宋体" w:hAnsi="宋体" w:eastAsia="宋体"/>
          <w:b/>
          <w:color w:val="000000"/>
          <w:sz w:val="32"/>
          <w:lang w:val="en-US" w:eastAsia="zh-CN"/>
        </w:rPr>
        <w:t>0</w:t>
      </w:r>
    </w:p>
    <w:p>
      <w:pPr>
        <w:pStyle w:val="6"/>
        <w:tabs>
          <w:tab w:val="right" w:leader="dot" w:pos="8296"/>
        </w:tabs>
        <w:rPr>
          <w:rFonts w:hint="eastAsia" w:ascii="宋体" w:hAnsi="宋体" w:eastAsia="宋体"/>
          <w:b/>
          <w:color w:val="000000"/>
          <w:sz w:val="32"/>
          <w:lang w:val="en-US" w:eastAsia="zh-CN"/>
        </w:rPr>
      </w:pPr>
      <w:r>
        <w:fldChar w:fldCharType="begin"/>
      </w:r>
      <w:r>
        <w:instrText xml:space="preserve"> HYPERLINK \l "_Toc91779126" </w:instrText>
      </w:r>
      <w:r>
        <w:fldChar w:fldCharType="separate"/>
      </w:r>
      <w:r>
        <w:rPr>
          <w:rStyle w:val="11"/>
          <w:rFonts w:hint="eastAsia" w:ascii="宋体" w:hAnsi="宋体" w:eastAsia="宋体"/>
          <w:b/>
          <w:color w:val="000000"/>
          <w:sz w:val="32"/>
          <w:u w:val="none"/>
        </w:rPr>
        <w:t>部门“三公”及会议培训经费预算</w:t>
      </w:r>
      <w:r>
        <w:rPr>
          <w:rFonts w:ascii="宋体" w:hAnsi="宋体" w:eastAsia="宋体"/>
          <w:b/>
          <w:color w:val="000000"/>
          <w:sz w:val="32"/>
        </w:rPr>
        <w:tab/>
      </w:r>
      <w:r>
        <w:rPr>
          <w:rFonts w:hint="eastAsia" w:ascii="宋体" w:hAnsi="宋体" w:eastAsia="宋体"/>
          <w:b/>
          <w:color w:val="000000"/>
          <w:sz w:val="32"/>
          <w:lang w:val="en-US" w:eastAsia="zh-CN"/>
        </w:rPr>
        <w:t>2</w:t>
      </w:r>
      <w:r>
        <w:rPr>
          <w:rFonts w:ascii="宋体" w:hAnsi="宋体" w:eastAsia="宋体"/>
          <w:b/>
          <w:color w:val="000000"/>
          <w:sz w:val="32"/>
        </w:rPr>
        <w:fldChar w:fldCharType="end"/>
      </w:r>
      <w:r>
        <w:rPr>
          <w:rFonts w:hint="eastAsia" w:ascii="宋体" w:hAnsi="宋体" w:eastAsia="宋体"/>
          <w:b/>
          <w:color w:val="000000"/>
          <w:sz w:val="32"/>
          <w:lang w:val="en-US" w:eastAsia="zh-CN"/>
        </w:rPr>
        <w:t>2</w:t>
      </w:r>
    </w:p>
    <w:p>
      <w:pPr>
        <w:pStyle w:val="6"/>
        <w:tabs>
          <w:tab w:val="right" w:leader="dot" w:pos="8296"/>
        </w:tabs>
        <w:rPr>
          <w:rFonts w:hint="eastAsia" w:ascii="宋体" w:hAnsi="宋体" w:eastAsia="宋体"/>
          <w:b/>
          <w:color w:val="000000"/>
          <w:sz w:val="32"/>
          <w:lang w:val="en-US" w:eastAsia="zh-CN"/>
        </w:rPr>
      </w:pPr>
      <w:r>
        <w:fldChar w:fldCharType="begin"/>
      </w:r>
      <w:r>
        <w:instrText xml:space="preserve"> HYPERLINK \l "_Toc91779127" </w:instrText>
      </w:r>
      <w:r>
        <w:fldChar w:fldCharType="separate"/>
      </w:r>
      <w:r>
        <w:rPr>
          <w:rStyle w:val="11"/>
          <w:rFonts w:hint="eastAsia" w:ascii="宋体" w:hAnsi="宋体" w:eastAsia="宋体"/>
          <w:b/>
          <w:color w:val="000000"/>
          <w:sz w:val="32"/>
          <w:u w:val="none"/>
        </w:rPr>
        <w:t>部门政府采购预算支出一览表</w:t>
      </w:r>
      <w:r>
        <w:rPr>
          <w:rFonts w:ascii="宋体" w:hAnsi="宋体" w:eastAsia="宋体"/>
          <w:b/>
          <w:color w:val="000000"/>
          <w:sz w:val="32"/>
        </w:rPr>
        <w:tab/>
      </w:r>
      <w:r>
        <w:rPr>
          <w:rFonts w:hint="eastAsia" w:ascii="宋体" w:hAnsi="宋体" w:eastAsia="宋体"/>
          <w:b/>
          <w:color w:val="000000"/>
          <w:sz w:val="32"/>
          <w:lang w:val="en-US" w:eastAsia="zh-CN"/>
        </w:rPr>
        <w:t>2</w:t>
      </w:r>
      <w:r>
        <w:rPr>
          <w:rFonts w:ascii="宋体" w:hAnsi="宋体" w:eastAsia="宋体"/>
          <w:b/>
          <w:color w:val="000000"/>
          <w:sz w:val="32"/>
        </w:rPr>
        <w:fldChar w:fldCharType="end"/>
      </w:r>
      <w:r>
        <w:rPr>
          <w:rFonts w:hint="eastAsia" w:ascii="宋体" w:hAnsi="宋体" w:eastAsia="宋体"/>
          <w:b/>
          <w:color w:val="000000"/>
          <w:sz w:val="32"/>
          <w:lang w:val="en-US" w:eastAsia="zh-CN"/>
        </w:rPr>
        <w:t>3</w:t>
      </w:r>
    </w:p>
    <w:p>
      <w:pPr>
        <w:pStyle w:val="6"/>
        <w:tabs>
          <w:tab w:val="right" w:leader="dot" w:pos="8296"/>
        </w:tabs>
        <w:rPr>
          <w:rFonts w:ascii="宋体" w:hAnsi="宋体" w:eastAsia="宋体"/>
          <w:b/>
          <w:color w:val="000000"/>
          <w:sz w:val="32"/>
        </w:rPr>
      </w:pPr>
      <w:r>
        <w:fldChar w:fldCharType="begin"/>
      </w:r>
      <w:r>
        <w:instrText xml:space="preserve"> HYPERLINK \l "_Toc91779128" </w:instrText>
      </w:r>
      <w:r>
        <w:fldChar w:fldCharType="separate"/>
      </w:r>
      <w:r>
        <w:rPr>
          <w:rStyle w:val="11"/>
          <w:rFonts w:hint="eastAsia" w:ascii="宋体" w:hAnsi="宋体" w:eastAsia="宋体"/>
          <w:b/>
          <w:color w:val="000000"/>
          <w:sz w:val="32"/>
          <w:u w:val="none"/>
        </w:rPr>
        <w:t>部门基本情况</w:t>
      </w:r>
      <w:r>
        <w:rPr>
          <w:rFonts w:ascii="宋体" w:hAnsi="宋体" w:eastAsia="宋体"/>
          <w:b/>
          <w:color w:val="000000"/>
          <w:sz w:val="32"/>
        </w:rPr>
        <w:tab/>
      </w:r>
      <w:r>
        <w:rPr>
          <w:rFonts w:ascii="宋体" w:hAnsi="宋体" w:eastAsia="宋体"/>
          <w:b/>
          <w:color w:val="000000"/>
          <w:sz w:val="32"/>
        </w:rPr>
        <w:fldChar w:fldCharType="begin"/>
      </w:r>
      <w:r>
        <w:rPr>
          <w:rFonts w:ascii="宋体" w:hAnsi="宋体" w:eastAsia="宋体"/>
          <w:b/>
          <w:color w:val="000000"/>
          <w:sz w:val="32"/>
        </w:rPr>
        <w:instrText xml:space="preserve"> PAGEREF _Toc91779128 \h </w:instrText>
      </w:r>
      <w:r>
        <w:rPr>
          <w:rFonts w:ascii="宋体" w:hAnsi="宋体" w:eastAsia="宋体"/>
          <w:b/>
          <w:color w:val="000000"/>
          <w:sz w:val="32"/>
        </w:rPr>
        <w:fldChar w:fldCharType="separate"/>
      </w:r>
      <w:r>
        <w:rPr>
          <w:rFonts w:ascii="宋体" w:hAnsi="宋体" w:eastAsia="宋体"/>
          <w:b/>
          <w:color w:val="000000"/>
          <w:sz w:val="32"/>
        </w:rPr>
        <w:t>21</w:t>
      </w:r>
      <w:r>
        <w:rPr>
          <w:rFonts w:ascii="宋体" w:hAnsi="宋体" w:eastAsia="宋体"/>
          <w:b/>
          <w:color w:val="000000"/>
          <w:sz w:val="32"/>
        </w:rPr>
        <w:fldChar w:fldCharType="end"/>
      </w:r>
      <w:r>
        <w:rPr>
          <w:rFonts w:ascii="宋体" w:hAnsi="宋体" w:eastAsia="宋体"/>
          <w:b/>
          <w:color w:val="000000"/>
          <w:sz w:val="32"/>
        </w:rPr>
        <w:fldChar w:fldCharType="end"/>
      </w:r>
    </w:p>
    <w:p>
      <w:pPr>
        <w:pStyle w:val="6"/>
        <w:tabs>
          <w:tab w:val="right" w:leader="dot" w:pos="8296"/>
        </w:tabs>
        <w:rPr>
          <w:rFonts w:ascii="宋体" w:hAnsi="宋体" w:eastAsia="宋体"/>
          <w:b/>
          <w:color w:val="000000"/>
          <w:sz w:val="32"/>
        </w:rPr>
      </w:pPr>
      <w:r>
        <w:fldChar w:fldCharType="begin"/>
      </w:r>
      <w:r>
        <w:instrText xml:space="preserve"> HYPERLINK \l "_Toc91779129" </w:instrText>
      </w:r>
      <w:r>
        <w:fldChar w:fldCharType="separate"/>
      </w:r>
      <w:r>
        <w:rPr>
          <w:rStyle w:val="11"/>
          <w:rFonts w:hint="eastAsia" w:ascii="宋体" w:hAnsi="宋体" w:eastAsia="宋体"/>
          <w:b/>
          <w:color w:val="000000"/>
          <w:sz w:val="32"/>
          <w:u w:val="none"/>
        </w:rPr>
        <w:t>部门专项公用经费项目支出一览表</w:t>
      </w:r>
      <w:r>
        <w:rPr>
          <w:rFonts w:ascii="宋体" w:hAnsi="宋体" w:eastAsia="宋体"/>
          <w:b/>
          <w:color w:val="000000"/>
          <w:sz w:val="32"/>
        </w:rPr>
        <w:tab/>
      </w:r>
      <w:r>
        <w:rPr>
          <w:rFonts w:ascii="宋体" w:hAnsi="宋体" w:eastAsia="宋体"/>
          <w:b/>
          <w:color w:val="000000"/>
          <w:sz w:val="32"/>
        </w:rPr>
        <w:fldChar w:fldCharType="begin"/>
      </w:r>
      <w:r>
        <w:rPr>
          <w:rFonts w:ascii="宋体" w:hAnsi="宋体" w:eastAsia="宋体"/>
          <w:b/>
          <w:color w:val="000000"/>
          <w:sz w:val="32"/>
        </w:rPr>
        <w:instrText xml:space="preserve"> PAGEREF _Toc91779129 \h </w:instrText>
      </w:r>
      <w:r>
        <w:rPr>
          <w:rFonts w:ascii="宋体" w:hAnsi="宋体" w:eastAsia="宋体"/>
          <w:b/>
          <w:color w:val="000000"/>
          <w:sz w:val="32"/>
        </w:rPr>
        <w:fldChar w:fldCharType="separate"/>
      </w:r>
      <w:r>
        <w:rPr>
          <w:rFonts w:ascii="宋体" w:hAnsi="宋体" w:eastAsia="宋体"/>
          <w:b/>
          <w:color w:val="000000"/>
          <w:sz w:val="32"/>
        </w:rPr>
        <w:t>2</w:t>
      </w:r>
      <w:r>
        <w:rPr>
          <w:rFonts w:hint="eastAsia" w:ascii="宋体" w:hAnsi="宋体" w:eastAsia="宋体"/>
          <w:b/>
          <w:color w:val="000000"/>
          <w:sz w:val="32"/>
          <w:lang w:val="en-US" w:eastAsia="zh-CN"/>
        </w:rPr>
        <w:t>6</w:t>
      </w:r>
      <w:r>
        <w:rPr>
          <w:rFonts w:ascii="宋体" w:hAnsi="宋体" w:eastAsia="宋体"/>
          <w:b/>
          <w:color w:val="000000"/>
          <w:sz w:val="32"/>
        </w:rPr>
        <w:fldChar w:fldCharType="end"/>
      </w:r>
      <w:r>
        <w:rPr>
          <w:rFonts w:ascii="宋体" w:hAnsi="宋体" w:eastAsia="宋体"/>
          <w:b/>
          <w:color w:val="000000"/>
          <w:sz w:val="32"/>
        </w:rPr>
        <w:fldChar w:fldCharType="end"/>
      </w:r>
    </w:p>
    <w:p>
      <w:pPr>
        <w:pStyle w:val="6"/>
        <w:tabs>
          <w:tab w:val="right" w:leader="dot" w:pos="8296"/>
        </w:tabs>
        <w:rPr>
          <w:rFonts w:ascii="宋体" w:hAnsi="宋体" w:eastAsia="宋体"/>
          <w:b/>
          <w:color w:val="000000"/>
          <w:sz w:val="32"/>
        </w:rPr>
      </w:pPr>
      <w:r>
        <w:fldChar w:fldCharType="begin"/>
      </w:r>
      <w:r>
        <w:instrText xml:space="preserve"> HYPERLINK \l "_Toc91779130" </w:instrText>
      </w:r>
      <w:r>
        <w:fldChar w:fldCharType="separate"/>
      </w:r>
      <w:r>
        <w:rPr>
          <w:rStyle w:val="11"/>
          <w:rFonts w:hint="eastAsia" w:ascii="宋体" w:hAnsi="宋体" w:eastAsia="宋体"/>
          <w:b/>
          <w:color w:val="000000"/>
          <w:sz w:val="32"/>
          <w:u w:val="none"/>
        </w:rPr>
        <w:t>部门专项项目支出一览表</w:t>
      </w:r>
      <w:r>
        <w:rPr>
          <w:rFonts w:ascii="宋体" w:hAnsi="宋体" w:eastAsia="宋体"/>
          <w:b/>
          <w:color w:val="000000"/>
          <w:sz w:val="32"/>
        </w:rPr>
        <w:tab/>
      </w:r>
      <w:r>
        <w:rPr>
          <w:rFonts w:ascii="宋体" w:hAnsi="宋体" w:eastAsia="宋体"/>
          <w:b/>
          <w:color w:val="000000"/>
          <w:sz w:val="32"/>
        </w:rPr>
        <w:fldChar w:fldCharType="begin"/>
      </w:r>
      <w:r>
        <w:rPr>
          <w:rFonts w:ascii="宋体" w:hAnsi="宋体" w:eastAsia="宋体"/>
          <w:b/>
          <w:color w:val="000000"/>
          <w:sz w:val="32"/>
        </w:rPr>
        <w:instrText xml:space="preserve"> PAGEREF _Toc91779130 \h </w:instrText>
      </w:r>
      <w:r>
        <w:rPr>
          <w:rFonts w:ascii="宋体" w:hAnsi="宋体" w:eastAsia="宋体"/>
          <w:b/>
          <w:color w:val="000000"/>
          <w:sz w:val="32"/>
        </w:rPr>
        <w:fldChar w:fldCharType="separate"/>
      </w:r>
      <w:r>
        <w:rPr>
          <w:rFonts w:ascii="宋体" w:hAnsi="宋体" w:eastAsia="宋体"/>
          <w:b/>
          <w:color w:val="000000"/>
          <w:sz w:val="32"/>
        </w:rPr>
        <w:t>2</w:t>
      </w:r>
      <w:r>
        <w:rPr>
          <w:rFonts w:hint="eastAsia" w:ascii="宋体" w:hAnsi="宋体" w:eastAsia="宋体"/>
          <w:b/>
          <w:color w:val="000000"/>
          <w:sz w:val="32"/>
          <w:lang w:val="en-US" w:eastAsia="zh-CN"/>
        </w:rPr>
        <w:t>7</w:t>
      </w:r>
      <w:r>
        <w:rPr>
          <w:rFonts w:ascii="宋体" w:hAnsi="宋体" w:eastAsia="宋体"/>
          <w:b/>
          <w:color w:val="000000"/>
          <w:sz w:val="32"/>
        </w:rPr>
        <w:fldChar w:fldCharType="end"/>
      </w:r>
      <w:r>
        <w:rPr>
          <w:rFonts w:ascii="宋体" w:hAnsi="宋体" w:eastAsia="宋体"/>
          <w:b/>
          <w:color w:val="000000"/>
          <w:sz w:val="32"/>
        </w:rPr>
        <w:fldChar w:fldCharType="end"/>
      </w:r>
    </w:p>
    <w:p>
      <w:pPr>
        <w:pStyle w:val="6"/>
        <w:tabs>
          <w:tab w:val="right" w:leader="dot" w:pos="8296"/>
        </w:tabs>
        <w:rPr>
          <w:rFonts w:ascii="宋体" w:hAnsi="宋体" w:eastAsia="宋体"/>
          <w:b/>
          <w:color w:val="000000"/>
          <w:sz w:val="32"/>
        </w:rPr>
      </w:pPr>
      <w:r>
        <w:fldChar w:fldCharType="begin"/>
      </w:r>
      <w:r>
        <w:instrText xml:space="preserve"> HYPERLINK \l "_Toc91779131" </w:instrText>
      </w:r>
      <w:r>
        <w:fldChar w:fldCharType="separate"/>
      </w:r>
      <w:r>
        <w:rPr>
          <w:rStyle w:val="11"/>
          <w:rFonts w:hint="eastAsia" w:ascii="宋体" w:hAnsi="宋体" w:eastAsia="宋体"/>
          <w:b/>
          <w:color w:val="000000"/>
          <w:sz w:val="32"/>
          <w:u w:val="none"/>
        </w:rPr>
        <w:t>一、唐山市供销合作总社收支预算安排</w:t>
      </w:r>
      <w:r>
        <w:rPr>
          <w:rFonts w:ascii="宋体" w:hAnsi="宋体" w:eastAsia="宋体"/>
          <w:b/>
          <w:color w:val="000000"/>
          <w:sz w:val="32"/>
        </w:rPr>
        <w:tab/>
      </w:r>
      <w:r>
        <w:rPr>
          <w:rFonts w:ascii="宋体" w:hAnsi="宋体" w:eastAsia="宋体"/>
          <w:b/>
          <w:color w:val="000000"/>
          <w:sz w:val="32"/>
        </w:rPr>
        <w:fldChar w:fldCharType="begin"/>
      </w:r>
      <w:r>
        <w:rPr>
          <w:rFonts w:ascii="宋体" w:hAnsi="宋体" w:eastAsia="宋体"/>
          <w:b/>
          <w:color w:val="000000"/>
          <w:sz w:val="32"/>
        </w:rPr>
        <w:instrText xml:space="preserve"> PAGEREF _Toc91779131 \h </w:instrText>
      </w:r>
      <w:r>
        <w:rPr>
          <w:rFonts w:ascii="宋体" w:hAnsi="宋体" w:eastAsia="宋体"/>
          <w:b/>
          <w:color w:val="000000"/>
          <w:sz w:val="32"/>
        </w:rPr>
        <w:fldChar w:fldCharType="separate"/>
      </w:r>
      <w:r>
        <w:rPr>
          <w:rFonts w:ascii="宋体" w:hAnsi="宋体" w:eastAsia="宋体"/>
          <w:b/>
          <w:color w:val="000000"/>
          <w:sz w:val="32"/>
        </w:rPr>
        <w:t>2</w:t>
      </w:r>
      <w:r>
        <w:rPr>
          <w:rFonts w:hint="eastAsia" w:ascii="宋体" w:hAnsi="宋体" w:eastAsia="宋体"/>
          <w:b/>
          <w:color w:val="000000"/>
          <w:sz w:val="32"/>
          <w:lang w:val="en-US" w:eastAsia="zh-CN"/>
        </w:rPr>
        <w:t>9</w:t>
      </w:r>
      <w:r>
        <w:rPr>
          <w:rFonts w:ascii="宋体" w:hAnsi="宋体" w:eastAsia="宋体"/>
          <w:b/>
          <w:color w:val="000000"/>
          <w:sz w:val="32"/>
        </w:rPr>
        <w:fldChar w:fldCharType="end"/>
      </w:r>
      <w:r>
        <w:rPr>
          <w:rFonts w:ascii="宋体" w:hAnsi="宋体" w:eastAsia="宋体"/>
          <w:b/>
          <w:color w:val="000000"/>
          <w:sz w:val="32"/>
        </w:rPr>
        <w:fldChar w:fldCharType="end"/>
      </w:r>
    </w:p>
    <w:p>
      <w:pPr>
        <w:jc w:val="center"/>
        <w:rPr>
          <w:rFonts w:ascii="楷体" w:hAnsi="宋体" w:eastAsia="楷体"/>
          <w:b/>
          <w:color w:val="000000"/>
          <w:sz w:val="52"/>
        </w:rPr>
        <w:sectPr>
          <w:pgSz w:w="11906" w:h="16838"/>
          <w:pgMar w:top="1440" w:right="1800" w:bottom="1440" w:left="1800" w:header="851" w:footer="992" w:gutter="0"/>
          <w:cols w:space="425" w:num="1"/>
          <w:docGrid w:type="lines" w:linePitch="312" w:charSpace="0"/>
        </w:sectPr>
      </w:pPr>
      <w:r>
        <w:rPr>
          <w:rFonts w:ascii="宋体" w:hAnsi="宋体" w:eastAsia="宋体"/>
          <w:b/>
          <w:color w:val="000000"/>
          <w:sz w:val="32"/>
        </w:rPr>
        <w:fldChar w:fldCharType="end"/>
      </w:r>
    </w:p>
    <w:p>
      <w:pPr>
        <w:pStyle w:val="2"/>
        <w:jc w:val="center"/>
      </w:pPr>
      <w:bookmarkStart w:id="0" w:name="_Toc91779122"/>
      <w:r>
        <w:t>部 门 概 况</w:t>
      </w:r>
      <w:bookmarkEnd w:id="0"/>
    </w:p>
    <w:p>
      <w:pPr>
        <w:jc w:val="left"/>
        <w:rPr>
          <w:rFonts w:ascii="宋体" w:hAnsi="宋体" w:eastAsia="宋体"/>
          <w:b/>
          <w:color w:val="000000"/>
          <w:sz w:val="28"/>
        </w:rPr>
      </w:pPr>
      <w:r>
        <w:rPr>
          <w:rFonts w:ascii="宋体" w:hAnsi="宋体" w:eastAsia="宋体"/>
          <w:b/>
          <w:color w:val="000000"/>
          <w:sz w:val="28"/>
        </w:rPr>
        <w:t>一、唐山市供销合作总社主要职责</w:t>
      </w:r>
    </w:p>
    <w:p>
      <w:pPr>
        <w:jc w:val="left"/>
        <w:rPr>
          <w:rFonts w:ascii="仿宋" w:hAnsi="宋体" w:eastAsia="仿宋"/>
          <w:color w:val="000000"/>
          <w:sz w:val="28"/>
        </w:rPr>
      </w:pPr>
      <w:r>
        <w:rPr>
          <w:rFonts w:ascii="仿宋" w:hAnsi="宋体" w:eastAsia="仿宋"/>
          <w:color w:val="000000"/>
          <w:sz w:val="28"/>
        </w:rPr>
        <w:t>根据《唐山市供销合作总社职能配置、内设机构和人员编制方案》规定，唐山市供销合作总社的主要职责是：</w:t>
      </w:r>
    </w:p>
    <w:p>
      <w:pPr>
        <w:spacing w:line="360" w:lineRule="auto"/>
        <w:ind w:firstLine="420" w:firstLineChars="200"/>
        <w:rPr>
          <w:rFonts w:hint="eastAsia"/>
        </w:rPr>
      </w:pPr>
      <w:r>
        <w:rPr>
          <w:rFonts w:hint="eastAsia"/>
        </w:rPr>
        <w:t>新型供销合作社在承担原有供销合作社职能的基础上，履行公益性和经营性职能。</w:t>
      </w:r>
    </w:p>
    <w:p>
      <w:pPr>
        <w:spacing w:line="360" w:lineRule="auto"/>
        <w:ind w:firstLine="420" w:firstLineChars="200"/>
        <w:rPr>
          <w:rFonts w:hint="eastAsia"/>
        </w:rPr>
      </w:pPr>
      <w:r>
        <w:rPr>
          <w:rFonts w:hint="eastAsia"/>
        </w:rPr>
        <w:t>1、负责制定并组织实施供销合作社、农民合作组织及相关行业协会发展规划；领办创办农民合作组织和相关行业协会，给予指导、扶持和服务，做好相关政策的执行和财政支持资金的落实、管理和使用；</w:t>
      </w:r>
    </w:p>
    <w:p>
      <w:pPr>
        <w:spacing w:line="360" w:lineRule="auto"/>
        <w:ind w:firstLine="420" w:firstLineChars="200"/>
        <w:rPr>
          <w:rFonts w:hint="eastAsia"/>
        </w:rPr>
      </w:pPr>
      <w:r>
        <w:rPr>
          <w:rFonts w:hint="eastAsia"/>
        </w:rPr>
        <w:t>2、做好供销合作社合作发展基金的规划、设立、管理和使用；承担相关涉农政策和项目，承担公益性服务，承担政府向社会购买的公共服务；</w:t>
      </w:r>
    </w:p>
    <w:p>
      <w:pPr>
        <w:spacing w:line="360" w:lineRule="auto"/>
        <w:ind w:firstLine="420" w:firstLineChars="200"/>
        <w:rPr>
          <w:rFonts w:hint="eastAsia"/>
        </w:rPr>
      </w:pPr>
      <w:r>
        <w:rPr>
          <w:rFonts w:hint="eastAsia"/>
        </w:rPr>
        <w:t>3、在新的法律法规和相关政策公布之前，做好流通领域食盐行政管理和专营，做好烟花爆竹批发、零售网络经营的监督管理；承担盐业、棉花、化肥、农药、抗灾应急物资等国家储备任务，参与大宗农产品政策性收储；</w:t>
      </w:r>
    </w:p>
    <w:p>
      <w:pPr>
        <w:spacing w:line="360" w:lineRule="auto"/>
        <w:ind w:firstLine="420" w:firstLineChars="200"/>
        <w:rPr>
          <w:rFonts w:hint="eastAsia"/>
        </w:rPr>
      </w:pPr>
      <w:r>
        <w:rPr>
          <w:rFonts w:hint="eastAsia"/>
        </w:rPr>
        <w:t>4、按照政府及相关部门授权或委托，做好再生资源回收利用的管理；会同有关部门制定并组织实施农产品批发市场、再生资源回收市场的发展规划，做好公益性市场建设、运营、管护；</w:t>
      </w:r>
    </w:p>
    <w:p>
      <w:pPr>
        <w:spacing w:line="360" w:lineRule="auto"/>
        <w:ind w:firstLine="420" w:firstLineChars="200"/>
        <w:rPr>
          <w:rFonts w:hint="eastAsia"/>
        </w:rPr>
      </w:pPr>
      <w:r>
        <w:rPr>
          <w:rFonts w:hint="eastAsia"/>
        </w:rPr>
        <w:t>5、做好社有资产、企业的运营管理，对出资企业行使出资人职能，做好系统财产安全统筹管理；</w:t>
      </w:r>
    </w:p>
    <w:p>
      <w:pPr>
        <w:spacing w:line="360" w:lineRule="auto"/>
        <w:ind w:firstLine="420" w:firstLineChars="200"/>
        <w:rPr>
          <w:rFonts w:hint="eastAsia"/>
        </w:rPr>
      </w:pPr>
      <w:r>
        <w:rPr>
          <w:rFonts w:hint="eastAsia"/>
        </w:rPr>
        <w:t>6、发展农业生产资料、农副产品、日用消费品、再生资源回收利用等经营服务网络体系；</w:t>
      </w:r>
    </w:p>
    <w:p>
      <w:pPr>
        <w:spacing w:line="360" w:lineRule="auto"/>
        <w:ind w:firstLine="420" w:firstLineChars="200"/>
        <w:rPr>
          <w:rFonts w:hint="eastAsia"/>
        </w:rPr>
      </w:pPr>
      <w:r>
        <w:rPr>
          <w:rFonts w:hint="eastAsia"/>
        </w:rPr>
        <w:t>7、发展为各类农业经营主体和广大农民群众生产生活提供全方位、全过程、系列化、社会化服务的综合服务平台；</w:t>
      </w:r>
    </w:p>
    <w:p>
      <w:pPr>
        <w:spacing w:line="360" w:lineRule="auto"/>
        <w:ind w:firstLine="420" w:firstLineChars="200"/>
        <w:rPr>
          <w:rFonts w:hint="eastAsia"/>
        </w:rPr>
      </w:pPr>
      <w:r>
        <w:rPr>
          <w:rFonts w:hint="eastAsia"/>
        </w:rPr>
        <w:t>8、开展农民职业技能培训和农村劳动力转移职业介绍服务；</w:t>
      </w:r>
    </w:p>
    <w:p>
      <w:pPr>
        <w:spacing w:line="360" w:lineRule="auto"/>
        <w:ind w:firstLine="420" w:firstLineChars="200"/>
        <w:rPr>
          <w:rFonts w:hint="eastAsia"/>
        </w:rPr>
      </w:pPr>
      <w:r>
        <w:rPr>
          <w:rFonts w:hint="eastAsia"/>
        </w:rPr>
        <w:t>9、开展农村产权交易、中小型银行、小额贷款、融资租赁、融资担保、资金互助、合作保险等服务；</w:t>
      </w:r>
    </w:p>
    <w:p>
      <w:pPr>
        <w:spacing w:line="360" w:lineRule="auto"/>
        <w:ind w:firstLine="420" w:firstLineChars="200"/>
        <w:rPr>
          <w:rFonts w:hint="eastAsia"/>
        </w:rPr>
      </w:pPr>
      <w:r>
        <w:rPr>
          <w:rFonts w:hint="eastAsia"/>
        </w:rPr>
        <w:t>10、承担政府赋予的其他职能和工作任务。</w:t>
      </w:r>
    </w:p>
    <w:p>
      <w:pPr>
        <w:spacing w:line="360" w:lineRule="auto"/>
        <w:ind w:firstLine="420" w:firstLineChars="200"/>
      </w:pPr>
    </w:p>
    <w:p>
      <w:pPr>
        <w:jc w:val="left"/>
        <w:rPr>
          <w:rFonts w:ascii="宋体" w:hAnsi="宋体" w:eastAsia="宋体"/>
          <w:b/>
          <w:color w:val="000000"/>
          <w:sz w:val="28"/>
        </w:rPr>
      </w:pPr>
      <w:r>
        <w:rPr>
          <w:rFonts w:ascii="宋体" w:hAnsi="宋体" w:eastAsia="宋体"/>
          <w:b/>
          <w:color w:val="000000"/>
          <w:sz w:val="28"/>
        </w:rPr>
        <w:t>二、唐山市供销合作总社2022年主要任务及目标规划</w:t>
      </w:r>
    </w:p>
    <w:p>
      <w:pPr>
        <w:jc w:val="left"/>
        <w:rPr>
          <w:rFonts w:ascii="仿宋" w:hAnsi="仿宋" w:eastAsia="仿宋"/>
          <w:color w:val="000000"/>
          <w:sz w:val="28"/>
        </w:rPr>
      </w:pPr>
      <w:r>
        <w:rPr>
          <w:rFonts w:ascii="仿宋" w:hAnsi="仿宋" w:eastAsia="仿宋"/>
          <w:color w:val="000000"/>
          <w:sz w:val="28"/>
        </w:rPr>
        <w:t>2022年，唐山市供销合作总社将重点做好以下工作：</w:t>
      </w:r>
    </w:p>
    <w:p>
      <w:pPr>
        <w:spacing w:line="720" w:lineRule="exact"/>
        <w:jc w:val="center"/>
        <w:rPr>
          <w:rFonts w:hint="eastAsia" w:ascii="宋体" w:hAnsi="宋体"/>
          <w:szCs w:val="21"/>
        </w:rPr>
      </w:pPr>
      <w:r>
        <w:rPr>
          <w:rFonts w:hint="eastAsia" w:ascii="宋体" w:hAnsi="宋体"/>
          <w:szCs w:val="21"/>
        </w:rPr>
        <w:t>唐山市供销合作总社</w:t>
      </w:r>
    </w:p>
    <w:p>
      <w:pPr>
        <w:spacing w:line="720" w:lineRule="exact"/>
        <w:jc w:val="center"/>
        <w:rPr>
          <w:rFonts w:hint="eastAsia" w:ascii="宋体" w:hAnsi="宋体"/>
          <w:szCs w:val="21"/>
        </w:rPr>
      </w:pPr>
      <w:r>
        <w:rPr>
          <w:rFonts w:hint="eastAsia" w:ascii="宋体" w:hAnsi="宋体"/>
          <w:szCs w:val="21"/>
        </w:rPr>
        <w:t>主要任务及目标规划</w:t>
      </w:r>
    </w:p>
    <w:p>
      <w:pPr>
        <w:pStyle w:val="3"/>
        <w:rPr>
          <w:rFonts w:hint="eastAsia" w:hAnsi="宋体" w:cs="宋体"/>
        </w:rPr>
      </w:pPr>
    </w:p>
    <w:p>
      <w:pPr>
        <w:spacing w:line="520" w:lineRule="exact"/>
        <w:ind w:firstLine="420" w:firstLineChars="200"/>
        <w:rPr>
          <w:rFonts w:hint="eastAsia" w:ascii="宋体" w:hAnsi="宋体" w:cs="仿宋_GB2312"/>
          <w:szCs w:val="21"/>
        </w:rPr>
      </w:pPr>
      <w:r>
        <w:rPr>
          <w:rFonts w:hint="eastAsia" w:ascii="宋体" w:hAnsi="宋体" w:cs="仿宋_GB2312"/>
          <w:szCs w:val="21"/>
        </w:rPr>
        <w:t>在市委、市政府的坚强领导下，市</w:t>
      </w:r>
      <w:r>
        <w:rPr>
          <w:rFonts w:ascii="宋体" w:hAnsi="宋体" w:cs="仿宋_GB2312"/>
          <w:szCs w:val="21"/>
        </w:rPr>
        <w:t>供销社</w:t>
      </w:r>
      <w:r>
        <w:rPr>
          <w:rFonts w:hint="eastAsia" w:ascii="宋体" w:hAnsi="宋体" w:cs="仿宋_GB2312"/>
          <w:szCs w:val="21"/>
        </w:rPr>
        <w:t>坚持以习近平新时代中国特色社会主义思想为指导，深入贯彻习近平总书记对供销合作社工作的重要指示精神，全面落实市委、市政府和上级社决策部署，统筹疫情防控和系统改革发展，聚焦为农服务主责主业，持续深化综合改革，积极为服务乡村振兴贡献供销力量，打造为农服务的综合平台。</w:t>
      </w:r>
    </w:p>
    <w:p>
      <w:pPr>
        <w:shd w:val="clear" w:color="auto" w:fill="FFFFFF"/>
        <w:snapToGrid w:val="0"/>
        <w:spacing w:line="520" w:lineRule="exact"/>
        <w:ind w:firstLine="420" w:firstLineChars="200"/>
        <w:rPr>
          <w:rFonts w:hint="eastAsia" w:ascii="宋体" w:hAnsi="宋体" w:cs="黑体"/>
          <w:szCs w:val="21"/>
        </w:rPr>
      </w:pPr>
      <w:r>
        <w:rPr>
          <w:rFonts w:hint="eastAsia" w:ascii="宋体" w:hAnsi="宋体" w:cs="黑体"/>
          <w:szCs w:val="21"/>
        </w:rPr>
        <w:t>一、服务乡村振兴，落实三方协议精神，协调推进中国供销集团合作项目</w:t>
      </w:r>
    </w:p>
    <w:p>
      <w:pPr>
        <w:spacing w:line="520" w:lineRule="exact"/>
        <w:ind w:firstLine="420" w:firstLineChars="200"/>
        <w:rPr>
          <w:rFonts w:hint="eastAsia" w:ascii="宋体" w:hAnsi="宋体"/>
          <w:szCs w:val="21"/>
        </w:rPr>
      </w:pPr>
      <w:r>
        <w:rPr>
          <w:rFonts w:hint="eastAsia" w:ascii="宋体" w:hAnsi="宋体"/>
          <w:szCs w:val="21"/>
        </w:rPr>
        <w:t>市政府与中国供销集团、河北省供销社签署战略合作框架协议。在市委市政府的领导下，市供销社按照合作协议内容，积极主动</w:t>
      </w:r>
      <w:r>
        <w:rPr>
          <w:rFonts w:ascii="宋体" w:hAnsi="宋体"/>
          <w:szCs w:val="21"/>
        </w:rPr>
        <w:t>对接</w:t>
      </w:r>
      <w:r>
        <w:rPr>
          <w:rFonts w:hint="eastAsia" w:ascii="宋体" w:hAnsi="宋体"/>
          <w:szCs w:val="21"/>
        </w:rPr>
        <w:t>服务</w:t>
      </w:r>
      <w:r>
        <w:rPr>
          <w:rFonts w:ascii="宋体" w:hAnsi="宋体"/>
          <w:szCs w:val="21"/>
        </w:rPr>
        <w:t>，</w:t>
      </w:r>
      <w:r>
        <w:rPr>
          <w:rFonts w:hint="eastAsia" w:ascii="宋体" w:hAnsi="宋体"/>
          <w:szCs w:val="21"/>
        </w:rPr>
        <w:t>多次协调中国供销集团和相关属地政府，深入实地调研，</w:t>
      </w:r>
      <w:r>
        <w:rPr>
          <w:rFonts w:ascii="宋体" w:hAnsi="宋体"/>
          <w:szCs w:val="21"/>
        </w:rPr>
        <w:t>全力推进落地</w:t>
      </w:r>
      <w:r>
        <w:rPr>
          <w:rFonts w:hint="eastAsia" w:ascii="宋体" w:hAnsi="宋体"/>
          <w:szCs w:val="21"/>
        </w:rPr>
        <w:t>。</w:t>
      </w:r>
      <w:r>
        <w:rPr>
          <w:rFonts w:hint="eastAsia" w:ascii="宋体" w:hAnsi="宋体"/>
          <w:b/>
          <w:szCs w:val="21"/>
        </w:rPr>
        <w:t>一是提高认识，用落实项目助力乡村振兴。</w:t>
      </w:r>
      <w:r>
        <w:rPr>
          <w:rFonts w:hint="eastAsia" w:ascii="宋体" w:hAnsi="宋体"/>
          <w:szCs w:val="21"/>
        </w:rPr>
        <w:t>全市供销社系统提高思想认识，站在讲政治、讲大局的高度，对合作项目进行</w:t>
      </w:r>
      <w:r>
        <w:rPr>
          <w:rFonts w:hint="eastAsia" w:ascii="宋体" w:hAnsi="宋体" w:cs="仿宋_GB2312"/>
          <w:szCs w:val="21"/>
        </w:rPr>
        <w:t>认真研究、评估、分析，积极探索</w:t>
      </w:r>
      <w:r>
        <w:rPr>
          <w:rFonts w:hint="eastAsia" w:ascii="宋体" w:hAnsi="宋体"/>
          <w:szCs w:val="21"/>
        </w:rPr>
        <w:t>依托中国供销集团雄厚实力，完善农业社会化服务体系，健全农产品流通网络，着力促进农民富裕富足、农业高质高效、乡村宜居宜业。</w:t>
      </w:r>
      <w:r>
        <w:rPr>
          <w:rFonts w:hint="eastAsia" w:ascii="宋体" w:hAnsi="宋体"/>
          <w:b/>
          <w:szCs w:val="21"/>
        </w:rPr>
        <w:t>二是主动对接，以落实项目推动乡村振兴。</w:t>
      </w:r>
      <w:r>
        <w:rPr>
          <w:rFonts w:hint="eastAsia" w:ascii="宋体" w:hAnsi="宋体"/>
          <w:szCs w:val="21"/>
        </w:rPr>
        <w:t>市供销社协调相关县（市、区），把落实合作项目作为推动全市乡村振兴的有力抓手，快速启动，不等不靠，确保尽早落地见效。目前，部分合作项目已</w:t>
      </w:r>
      <w:r>
        <w:rPr>
          <w:rFonts w:ascii="宋体" w:hAnsi="宋体"/>
          <w:szCs w:val="21"/>
        </w:rPr>
        <w:t>取得实质性进展</w:t>
      </w:r>
      <w:r>
        <w:rPr>
          <w:rFonts w:hint="eastAsia" w:ascii="宋体" w:hAnsi="宋体"/>
          <w:szCs w:val="21"/>
        </w:rPr>
        <w:t>。主要有：1.玉田县“中再生—汽车拆解项目”，已完成基础设施建设，正在进行设备采购和人员培训，明年投入生产；2.遵化市“中农批—京东（遵化）农产品智慧物流园项目”，土地已摘牌，年底前开工建设。3.丰润区“中再生—供销环境城乡环境服务项目”，相关人员已进驻唐山，正在开展尽职调查，在丰润区开展垃圾分类、社区物业管理、再生资源回收体系建设。4.曹妃甸“河北自贸区大宗产品交易中心”已正式开业，对自贸区发展起到了引领带动作用，促进了京津冀金融板块发展。“中再生—废钢回收业务项目”等其他项目也在积极推进中。</w:t>
      </w:r>
      <w:r>
        <w:rPr>
          <w:rFonts w:hint="eastAsia" w:ascii="宋体" w:hAnsi="宋体"/>
          <w:b/>
          <w:szCs w:val="21"/>
        </w:rPr>
        <w:t>三是细化分工，以落实项目提速乡村振兴。</w:t>
      </w:r>
      <w:r>
        <w:rPr>
          <w:rFonts w:hint="eastAsia" w:ascii="宋体" w:hAnsi="宋体"/>
          <w:szCs w:val="21"/>
        </w:rPr>
        <w:t>市供销社发挥承上启下、服务对接作用，</w:t>
      </w:r>
      <w:r>
        <w:rPr>
          <w:rFonts w:ascii="宋体" w:hAnsi="宋体"/>
          <w:szCs w:val="21"/>
        </w:rPr>
        <w:t>各项合作顺畅对接、快速推进</w:t>
      </w:r>
      <w:r>
        <w:rPr>
          <w:rFonts w:hint="eastAsia" w:ascii="宋体" w:hAnsi="宋体"/>
          <w:szCs w:val="21"/>
        </w:rPr>
        <w:t>。积极配合、协调项目所在地县（市、区）发挥属地作用，</w:t>
      </w:r>
      <w:r>
        <w:rPr>
          <w:rFonts w:ascii="宋体" w:hAnsi="宋体"/>
          <w:szCs w:val="21"/>
        </w:rPr>
        <w:t>建立</w:t>
      </w:r>
      <w:r>
        <w:rPr>
          <w:rFonts w:hint="eastAsia" w:ascii="宋体" w:hAnsi="宋体"/>
          <w:szCs w:val="21"/>
        </w:rPr>
        <w:t>“五个一”工作机制，推动项目落实落地见效。10月15日，市供销社与中国供销集团、丰润区政府在京签署框架协议，共同打造城乡环境服务、社区综合服务、“京津冀”优质高端农产品供应保障基地、创建农产品品牌增值和流通渠道4个综合性项目，打造合作共建的典范样板。</w:t>
      </w:r>
    </w:p>
    <w:p>
      <w:pPr>
        <w:shd w:val="clear" w:color="auto" w:fill="FFFFFF"/>
        <w:snapToGrid w:val="0"/>
        <w:spacing w:line="520" w:lineRule="exact"/>
        <w:ind w:firstLine="420" w:firstLineChars="200"/>
        <w:rPr>
          <w:rFonts w:hint="eastAsia" w:ascii="宋体" w:hAnsi="宋体" w:cs="黑体"/>
          <w:szCs w:val="21"/>
        </w:rPr>
      </w:pPr>
      <w:r>
        <w:rPr>
          <w:rFonts w:hint="eastAsia" w:ascii="宋体" w:hAnsi="宋体" w:cs="黑体"/>
          <w:szCs w:val="21"/>
        </w:rPr>
        <w:t>二、坚持“为农”初心，推进基层社改革，密切与农民的利益联结</w:t>
      </w:r>
    </w:p>
    <w:p>
      <w:pPr>
        <w:spacing w:line="520" w:lineRule="exact"/>
        <w:ind w:firstLine="420" w:firstLineChars="200"/>
        <w:rPr>
          <w:rFonts w:hint="eastAsia" w:ascii="宋体" w:hAnsi="宋体"/>
          <w:szCs w:val="21"/>
        </w:rPr>
      </w:pPr>
      <w:r>
        <w:rPr>
          <w:rFonts w:hint="eastAsia" w:ascii="宋体" w:hAnsi="宋体"/>
          <w:szCs w:val="21"/>
        </w:rPr>
        <w:t>坚持不懈抓基层、打基础，全面提升基层组织发展质量，推动基层社扩面、提质、增效。</w:t>
      </w:r>
      <w:r>
        <w:rPr>
          <w:rFonts w:hint="eastAsia" w:ascii="宋体" w:hAnsi="宋体"/>
          <w:b/>
          <w:szCs w:val="21"/>
        </w:rPr>
        <w:t>一是基层组织建设持续加强。</w:t>
      </w:r>
      <w:r>
        <w:rPr>
          <w:rFonts w:hint="eastAsia" w:ascii="宋体" w:hAnsi="宋体" w:cs="方正小标宋简体"/>
          <w:szCs w:val="21"/>
        </w:rPr>
        <w:t>多种形式分类改造和恢复重建基层社，因地制宜地建设了272个乡镇级、村级基层供销社，其中乡镇级基层社覆盖率达到了100%，发展基层社社员69256人。已培育8个全国供销合作社系统百强县级社、26个基层社标杆社，数量居全省之首。</w:t>
      </w:r>
      <w:r>
        <w:rPr>
          <w:rFonts w:hint="eastAsia" w:ascii="宋体" w:hAnsi="宋体"/>
          <w:b/>
          <w:szCs w:val="21"/>
        </w:rPr>
        <w:t>二是提高基层社发展质量。</w:t>
      </w:r>
      <w:r>
        <w:rPr>
          <w:rFonts w:hint="eastAsia" w:ascii="宋体" w:hAnsi="宋体" w:cs="方正小标宋简体"/>
          <w:szCs w:val="21"/>
        </w:rPr>
        <w:t>通过劳动合作、资本合作、土地合作等途径，推进基层社改造提升，增强经济实力，提升服务功能。改造完成20家薄弱基层社。</w:t>
      </w:r>
      <w:r>
        <w:rPr>
          <w:rFonts w:hint="eastAsia" w:ascii="宋体" w:hAnsi="宋体"/>
          <w:b/>
          <w:szCs w:val="21"/>
        </w:rPr>
        <w:t>三是积极领办创办农民合作社。</w:t>
      </w:r>
      <w:r>
        <w:rPr>
          <w:rFonts w:hint="eastAsia" w:ascii="宋体" w:hAnsi="宋体"/>
          <w:szCs w:val="21"/>
        </w:rPr>
        <w:t>发展农民专业</w:t>
      </w:r>
      <w:r>
        <w:rPr>
          <w:rFonts w:hint="eastAsia" w:ascii="宋体" w:hAnsi="宋体" w:cs="方正小标宋简体"/>
          <w:szCs w:val="21"/>
        </w:rPr>
        <w:t>合作社</w:t>
      </w:r>
      <w:r>
        <w:rPr>
          <w:rFonts w:hint="eastAsia" w:ascii="宋体" w:hAnsi="宋体"/>
          <w:szCs w:val="21"/>
        </w:rPr>
        <w:t>4</w:t>
      </w:r>
      <w:r>
        <w:rPr>
          <w:rFonts w:hint="eastAsia" w:ascii="宋体" w:hAnsi="宋体" w:cs="方正小标宋简体"/>
          <w:szCs w:val="21"/>
        </w:rPr>
        <w:t>032个,发培育总社</w:t>
      </w:r>
      <w:r>
        <w:rPr>
          <w:rFonts w:ascii="宋体" w:hAnsi="宋体" w:cs="方正小标宋简体"/>
          <w:szCs w:val="21"/>
        </w:rPr>
        <w:t>农民专业合作社示范社</w:t>
      </w:r>
      <w:r>
        <w:rPr>
          <w:rFonts w:hint="eastAsia" w:ascii="宋体" w:hAnsi="宋体" w:cs="方正小标宋简体"/>
          <w:szCs w:val="21"/>
        </w:rPr>
        <w:t>8个、省社示范社18个。</w:t>
      </w:r>
    </w:p>
    <w:p>
      <w:pPr>
        <w:spacing w:line="520" w:lineRule="exact"/>
        <w:ind w:firstLine="422" w:firstLineChars="201"/>
        <w:rPr>
          <w:rFonts w:hint="eastAsia" w:ascii="宋体" w:hAnsi="宋体" w:cs="黑体"/>
          <w:szCs w:val="21"/>
        </w:rPr>
      </w:pPr>
      <w:r>
        <w:rPr>
          <w:rFonts w:hint="eastAsia" w:ascii="宋体" w:hAnsi="宋体" w:cs="黑体"/>
          <w:szCs w:val="21"/>
        </w:rPr>
        <w:t>三、把握“姓农”原则，推进农业社会化服务机制改革，提升农业全产业链服务能力</w:t>
      </w:r>
    </w:p>
    <w:p>
      <w:pPr>
        <w:spacing w:line="520" w:lineRule="exact"/>
        <w:ind w:firstLine="420" w:firstLineChars="200"/>
        <w:rPr>
          <w:rFonts w:hint="eastAsia" w:ascii="宋体" w:hAnsi="宋体"/>
          <w:b/>
          <w:szCs w:val="21"/>
        </w:rPr>
      </w:pPr>
      <w:r>
        <w:rPr>
          <w:rFonts w:hint="eastAsia" w:ascii="宋体" w:hAnsi="宋体" w:cs="方正小标宋简体"/>
          <w:szCs w:val="21"/>
        </w:rPr>
        <w:t>坚决贯彻市委市政府关于抓好农业生产的决策部署，加强市、县、乡供销合作社联动和资源统筹，扎实推进农业社会化服务体系建设。</w:t>
      </w:r>
      <w:r>
        <w:rPr>
          <w:rFonts w:hint="eastAsia" w:ascii="宋体" w:hAnsi="宋体"/>
          <w:b/>
          <w:szCs w:val="21"/>
        </w:rPr>
        <w:t>一是深入实施农业社会化服务惠农工程。</w:t>
      </w:r>
      <w:r>
        <w:rPr>
          <w:rFonts w:hint="eastAsia" w:ascii="宋体" w:hAnsi="宋体" w:cs="方正小标宋简体"/>
          <w:szCs w:val="21"/>
        </w:rPr>
        <w:t>出台《为农服务综合平台建设工作方案》和《关于加强农业科技社会化服务体系建设工作方案》，打造生产、服务、公益为一体的为农服务体系，发展农村综合服务社6160个。积极开展总社农村综合服务社星级社创建活动，培育161个星级农村综合服务社。积极融入省社农村（社区）综合服务中心体系建设，以滦州、迁安为试点建设农村社区综合服务中心，截止目前正式运营县级信息大厅2个、乡镇级综合服务中心2个、村级服务站131个,准备与曹妃甸、遵化、丰润、古冶进行签约。</w:t>
      </w:r>
      <w:r>
        <w:rPr>
          <w:rFonts w:hint="eastAsia" w:ascii="宋体" w:hAnsi="宋体"/>
          <w:b/>
          <w:szCs w:val="21"/>
        </w:rPr>
        <w:t>二是提高农村产权流转交易水平。</w:t>
      </w:r>
      <w:r>
        <w:rPr>
          <w:rFonts w:hint="eastAsia" w:ascii="宋体" w:hAnsi="宋体"/>
          <w:szCs w:val="21"/>
        </w:rPr>
        <w:t>发挥上下体系优势，深耕细作业务交易品种，努力提升服务质量和水平。全市建立标准化乡镇服务站163个，完成率92%，村级服务站点4701个，完成率87%，完成省达目标。截至目前，已办理各类农村产权交易鉴证业务490宗，交易金额6.5亿元，涉及流转土地6.2万亩，与去年同期相比，业务指标增长300%。</w:t>
      </w:r>
      <w:r>
        <w:rPr>
          <w:rFonts w:hint="eastAsia" w:ascii="宋体" w:hAnsi="宋体"/>
          <w:b/>
          <w:szCs w:val="21"/>
        </w:rPr>
        <w:t>三是创新农业生产服务方式。</w:t>
      </w:r>
      <w:r>
        <w:rPr>
          <w:rFonts w:hint="eastAsia" w:ascii="宋体" w:hAnsi="宋体" w:cs="方正小标宋简体"/>
          <w:szCs w:val="21"/>
        </w:rPr>
        <w:t>着力推进生产、供销、信用“三位一体”综合合作，构建覆盖全程、综合配套、便捷高效的农业社会化服务体系，为农民生产生活提供产前、产中、产后全程规模化服务。全系统土地托管半托管面积达到412.40万亩，统防统治、配方施肥、农机服务面积达到581.47万亩。</w:t>
      </w:r>
    </w:p>
    <w:p>
      <w:pPr>
        <w:spacing w:line="520" w:lineRule="exact"/>
        <w:ind w:firstLine="422" w:firstLineChars="201"/>
        <w:rPr>
          <w:rFonts w:hint="eastAsia" w:ascii="宋体" w:hAnsi="宋体" w:cs="黑体"/>
          <w:szCs w:val="21"/>
        </w:rPr>
      </w:pPr>
      <w:r>
        <w:rPr>
          <w:rFonts w:hint="eastAsia" w:ascii="宋体" w:hAnsi="宋体"/>
          <w:szCs w:val="21"/>
        </w:rPr>
        <w:t>四、做实</w:t>
      </w:r>
      <w:r>
        <w:rPr>
          <w:rFonts w:hint="eastAsia" w:ascii="宋体" w:hAnsi="宋体" w:cs="黑体"/>
          <w:szCs w:val="21"/>
        </w:rPr>
        <w:t>“务农”功能，推进传统流通网络改革，更好服务保供稳价和农民增收</w:t>
      </w:r>
    </w:p>
    <w:p>
      <w:pPr>
        <w:spacing w:line="520" w:lineRule="exact"/>
        <w:ind w:firstLine="420" w:firstLineChars="200"/>
        <w:rPr>
          <w:rFonts w:hint="eastAsia" w:ascii="宋体" w:hAnsi="宋体" w:cs="方正小标宋简体"/>
          <w:szCs w:val="21"/>
        </w:rPr>
      </w:pPr>
      <w:r>
        <w:rPr>
          <w:rFonts w:hint="eastAsia" w:ascii="宋体" w:hAnsi="宋体" w:cs="方正小标宋简体"/>
          <w:szCs w:val="21"/>
        </w:rPr>
        <w:t>坚持为“三农”服务根本宗旨，在土地托管、农村电商、产权流转、金融服务等领域广泛开展为农服务活动，努力在服务乡村振兴中彰显供销新作为。</w:t>
      </w:r>
      <w:r>
        <w:rPr>
          <w:rFonts w:hint="eastAsia" w:ascii="宋体" w:hAnsi="宋体"/>
          <w:b/>
          <w:szCs w:val="21"/>
        </w:rPr>
        <w:t>一是推进线上线下融合发展。</w:t>
      </w:r>
      <w:r>
        <w:rPr>
          <w:rFonts w:hint="eastAsia" w:ascii="宋体" w:hAnsi="宋体" w:cs="方正小标宋简体"/>
          <w:szCs w:val="21"/>
        </w:rPr>
        <w:t>制定出台《关于加强农产品电商销售的实施意见》。在疫情防控常态化前提下，加快发展农村电子商务。8个平台与全国总社“供销e家”对接，自建14个电商服务平台,发展社区电子商务站1643个，开展电商业务的企业40家,开展电商业务的农民专业合作社338个,开展物流业务配送的电商企业37家,电商销售额6.36亿元，同比增长45.64%。</w:t>
      </w:r>
      <w:r>
        <w:rPr>
          <w:rFonts w:hint="eastAsia" w:ascii="宋体" w:hAnsi="宋体"/>
          <w:b/>
          <w:szCs w:val="21"/>
        </w:rPr>
        <w:t>二是建设农产品批发市场。</w:t>
      </w:r>
      <w:r>
        <w:rPr>
          <w:rFonts w:hint="eastAsia" w:ascii="宋体" w:hAnsi="宋体" w:cs="方正小标宋简体"/>
          <w:szCs w:val="21"/>
        </w:rPr>
        <w:t>推进农产品集散地批发市场建设，遵化市与中国供销集团合作建设中国供销·京东(遵化)农产品智慧物流园，占地145亩，总投资10亿元，目前项目公司已注册，通过招拍挂取得用地手续，12月进场施工。</w:t>
      </w:r>
      <w:r>
        <w:rPr>
          <w:rFonts w:hint="eastAsia" w:ascii="宋体" w:hAnsi="宋体"/>
          <w:b/>
          <w:szCs w:val="21"/>
        </w:rPr>
        <w:t>三是发展冷链物流。</w:t>
      </w:r>
      <w:r>
        <w:rPr>
          <w:rFonts w:hint="eastAsia" w:ascii="宋体" w:hAnsi="宋体" w:cs="方正小标宋简体"/>
          <w:szCs w:val="21"/>
        </w:rPr>
        <w:t>出台了《关于加强农村现代流通网络体系建设的实施意见》和《关于推进供销系统物流体系建设实施意见》。市农产品销售公司为龙头，依托3100亩生产基地、4500立方米冷链仓储设施，建设50家供销社区生鲜店，满足9万户居民生活需求。</w:t>
      </w:r>
    </w:p>
    <w:p>
      <w:pPr>
        <w:spacing w:line="520" w:lineRule="exact"/>
        <w:ind w:firstLine="422" w:firstLineChars="201"/>
        <w:rPr>
          <w:rFonts w:hint="eastAsia" w:ascii="宋体" w:hAnsi="宋体"/>
          <w:b/>
          <w:szCs w:val="21"/>
        </w:rPr>
      </w:pPr>
      <w:r>
        <w:rPr>
          <w:rFonts w:hint="eastAsia" w:ascii="宋体" w:hAnsi="宋体"/>
          <w:szCs w:val="21"/>
        </w:rPr>
        <w:t>五、守牢“稳行”底线，</w:t>
      </w:r>
      <w:r>
        <w:rPr>
          <w:rFonts w:hint="eastAsia" w:ascii="宋体" w:hAnsi="宋体"/>
          <w:b/>
          <w:szCs w:val="21"/>
        </w:rPr>
        <w:t>推进社资社企改革，推动社有企业稳健发展</w:t>
      </w:r>
    </w:p>
    <w:p>
      <w:pPr>
        <w:shd w:val="solid" w:color="FFFFFF" w:fill="auto"/>
        <w:autoSpaceDN w:val="0"/>
        <w:spacing w:line="520" w:lineRule="exact"/>
        <w:ind w:firstLine="420" w:firstLineChars="200"/>
        <w:rPr>
          <w:rFonts w:hint="eastAsia" w:ascii="宋体" w:hAnsi="宋体"/>
          <w:szCs w:val="21"/>
        </w:rPr>
      </w:pPr>
      <w:r>
        <w:rPr>
          <w:rFonts w:hint="eastAsia" w:ascii="宋体" w:hAnsi="宋体" w:cs="仿宋_GB2312"/>
          <w:szCs w:val="21"/>
        </w:rPr>
        <w:t>坚决扛起防范化解重大风险的政治责任，全力推进风险排查化解，确保系统健康发展、行稳致远。</w:t>
      </w:r>
      <w:r>
        <w:rPr>
          <w:rFonts w:hint="eastAsia" w:ascii="宋体" w:hAnsi="宋体"/>
          <w:b/>
          <w:szCs w:val="21"/>
        </w:rPr>
        <w:t>一是拓宽企业经营业态</w:t>
      </w:r>
      <w:r>
        <w:rPr>
          <w:rFonts w:hint="eastAsia" w:ascii="宋体" w:hAnsi="宋体"/>
          <w:szCs w:val="21"/>
        </w:rPr>
        <w:t>。拓展农资、棉麻、盐业、土产、再生资源等传统业务经营。组织集团各单位考察本地及周边市场，结合各单位实际，借鉴外部经验，利用自身优势，谋划主营业务经营。</w:t>
      </w:r>
      <w:r>
        <w:rPr>
          <w:rFonts w:hint="eastAsia" w:ascii="宋体" w:hAnsi="宋体"/>
          <w:b/>
          <w:szCs w:val="21"/>
        </w:rPr>
        <w:t>二是持续加强企业管控。</w:t>
      </w:r>
      <w:r>
        <w:rPr>
          <w:rFonts w:hint="eastAsia" w:ascii="宋体" w:hAnsi="宋体"/>
          <w:szCs w:val="21"/>
        </w:rPr>
        <w:t>加强党对社有企业领导，</w:t>
      </w:r>
      <w:r>
        <w:rPr>
          <w:rFonts w:hint="eastAsia" w:ascii="宋体" w:hAnsi="宋体" w:cs="仿宋"/>
          <w:szCs w:val="21"/>
        </w:rPr>
        <w:t>加</w:t>
      </w:r>
      <w:r>
        <w:rPr>
          <w:rFonts w:hint="eastAsia" w:ascii="宋体" w:hAnsi="宋体"/>
          <w:szCs w:val="21"/>
        </w:rPr>
        <w:t>快完善法人治理结构，加强完善资产管理体制，</w:t>
      </w:r>
      <w:r>
        <w:rPr>
          <w:rFonts w:hint="eastAsia" w:ascii="宋体" w:hAnsi="宋体" w:cs="仿宋_GB2312"/>
          <w:szCs w:val="21"/>
        </w:rPr>
        <w:t>市供销社和12个县级社全部成立了社资委，</w:t>
      </w:r>
      <w:r>
        <w:rPr>
          <w:rFonts w:hint="eastAsia" w:ascii="宋体" w:hAnsi="宋体"/>
          <w:szCs w:val="21"/>
        </w:rPr>
        <w:t>制定完善23项规章制度。落实全国总社“5个不准”要求，严格规范社有企业“三重一大”、股权变更、对外担保、出借资金、项目投资、融资、股权投资等行为。</w:t>
      </w:r>
      <w:r>
        <w:rPr>
          <w:rFonts w:hint="eastAsia" w:ascii="宋体" w:hAnsi="宋体"/>
          <w:b/>
          <w:szCs w:val="21"/>
        </w:rPr>
        <w:t>三是全力推进风险排查化解。</w:t>
      </w:r>
      <w:r>
        <w:rPr>
          <w:rFonts w:hint="eastAsia" w:ascii="宋体" w:hAnsi="宋体"/>
          <w:szCs w:val="21"/>
        </w:rPr>
        <w:t>坚持底线思维，全力做好金融、经营、法律、安全生产等方面的风险防控，推进全面从严治党、从严治社，成立5个重点工作专班，按照“五个一”工作机制，制定相关工作方案，明确工作目标和时间节点，严防风险发生。</w:t>
      </w:r>
    </w:p>
    <w:p>
      <w:pPr>
        <w:spacing w:line="530" w:lineRule="exact"/>
        <w:ind w:firstLine="420" w:firstLineChars="200"/>
        <w:rPr>
          <w:rFonts w:hint="eastAsia" w:ascii="宋体" w:hAnsi="宋体"/>
          <w:szCs w:val="21"/>
        </w:rPr>
      </w:pPr>
      <w:r>
        <w:rPr>
          <w:rFonts w:hint="eastAsia" w:ascii="宋体" w:hAnsi="宋体"/>
          <w:szCs w:val="21"/>
        </w:rPr>
        <w:t>市供销</w:t>
      </w:r>
      <w:r>
        <w:rPr>
          <w:rFonts w:ascii="宋体" w:hAnsi="宋体"/>
          <w:szCs w:val="21"/>
        </w:rPr>
        <w:t>社</w:t>
      </w:r>
      <w:r>
        <w:rPr>
          <w:rFonts w:hint="eastAsia" w:ascii="宋体" w:hAnsi="宋体"/>
          <w:szCs w:val="21"/>
        </w:rPr>
        <w:t>虽然取得了一定成绩，但依然存在许多制约发展的问题和不容忽视的挑战。在服务乡村振兴中，供销社取得的成效还不够明显，独特优势和作用还没有充分发挥出来；综合改革进展不平衡，有些领域的改革进展还不明显，特别是体制机制方面的改革突破不多；历史遗留问题众多，在资产性质、资产权属、人员安置等方面尤为突出；人才短缺的问题依然突出，特别缺少懂</w:t>
      </w:r>
      <w:r>
        <w:rPr>
          <w:rFonts w:ascii="宋体" w:hAnsi="宋体"/>
          <w:szCs w:val="21"/>
        </w:rPr>
        <w:t>市场、会管理</w:t>
      </w:r>
      <w:r>
        <w:rPr>
          <w:rFonts w:hint="eastAsia" w:ascii="宋体" w:hAnsi="宋体"/>
          <w:szCs w:val="21"/>
        </w:rPr>
        <w:t>、敢创新</w:t>
      </w:r>
      <w:r>
        <w:rPr>
          <w:rFonts w:ascii="宋体" w:hAnsi="宋体"/>
          <w:szCs w:val="21"/>
        </w:rPr>
        <w:t>的</w:t>
      </w:r>
      <w:r>
        <w:rPr>
          <w:rFonts w:hint="eastAsia" w:ascii="宋体" w:hAnsi="宋体"/>
          <w:szCs w:val="21"/>
        </w:rPr>
        <w:t>复合型</w:t>
      </w:r>
      <w:r>
        <w:rPr>
          <w:rFonts w:ascii="宋体" w:hAnsi="宋体"/>
          <w:szCs w:val="21"/>
        </w:rPr>
        <w:t>人才</w:t>
      </w:r>
      <w:r>
        <w:rPr>
          <w:rFonts w:hint="eastAsia" w:ascii="宋体" w:hAnsi="宋体"/>
          <w:szCs w:val="21"/>
        </w:rPr>
        <w:t>；社有企业负债负担较重，部分企业经济效益差，经营困难等，都需要妥善解决。</w:t>
      </w:r>
    </w:p>
    <w:p>
      <w:pPr>
        <w:spacing w:line="520" w:lineRule="exact"/>
        <w:ind w:firstLine="403" w:firstLineChars="192"/>
        <w:rPr>
          <w:rFonts w:hint="eastAsia" w:ascii="宋体" w:hAnsi="宋体"/>
          <w:szCs w:val="21"/>
        </w:rPr>
      </w:pPr>
      <w:r>
        <w:rPr>
          <w:rFonts w:hint="eastAsia" w:ascii="宋体" w:hAnsi="宋体"/>
          <w:szCs w:val="21"/>
        </w:rPr>
        <w:t>全市供销社系统将以习近平新时代中国特色社会主义思想为指导，坚决落实市委市政府的决策部署，持续深化综合改革，坚决守住风险底线，以“争第一、创唯一”为目标，完善体制机制，拓展服务领域，加快成为服务农民生产生活的综合平台，为推进乡村振兴、实现“三个努力建成”贡献力量。</w:t>
      </w:r>
    </w:p>
    <w:p>
      <w:pPr>
        <w:spacing w:line="530" w:lineRule="exact"/>
        <w:ind w:firstLine="3570" w:firstLineChars="1700"/>
        <w:rPr>
          <w:rFonts w:hint="eastAsia" w:ascii="宋体" w:hAnsi="宋体"/>
          <w:szCs w:val="21"/>
        </w:rPr>
      </w:pPr>
    </w:p>
    <w:p>
      <w:pPr>
        <w:jc w:val="left"/>
        <w:rPr>
          <w:rFonts w:ascii="宋体" w:hAnsi="宋体" w:eastAsia="宋体"/>
          <w:b/>
          <w:color w:val="000000"/>
          <w:sz w:val="28"/>
        </w:rPr>
      </w:pPr>
      <w:r>
        <w:rPr>
          <w:rFonts w:ascii="宋体" w:hAnsi="宋体" w:eastAsia="宋体"/>
          <w:b/>
          <w:color w:val="000000"/>
          <w:sz w:val="28"/>
        </w:rPr>
        <w:t>三、唐山市供销合作总社目标规划及保障措施</w:t>
      </w:r>
    </w:p>
    <w:p>
      <w:pPr>
        <w:spacing w:line="520" w:lineRule="exact"/>
        <w:ind w:firstLine="422" w:firstLineChars="200"/>
        <w:rPr>
          <w:rFonts w:ascii="宋体" w:hAnsi="宋体"/>
          <w:szCs w:val="21"/>
        </w:rPr>
      </w:pPr>
      <w:r>
        <w:rPr>
          <w:rFonts w:hint="eastAsia" w:ascii="宋体" w:hAnsi="宋体"/>
          <w:b/>
          <w:szCs w:val="21"/>
        </w:rPr>
        <w:t>（一）深化综合改革。</w:t>
      </w:r>
      <w:r>
        <w:rPr>
          <w:rFonts w:hint="eastAsia" w:ascii="宋体" w:hAnsi="宋体"/>
          <w:szCs w:val="21"/>
        </w:rPr>
        <w:t>深入贯彻习近平总书记对供销合作社作出的重要指示批示，牢牢把握供销社综合改革的目标任务，加大改革的推动力和执行力，</w:t>
      </w:r>
      <w:r>
        <w:rPr>
          <w:rFonts w:ascii="宋体" w:hAnsi="宋体"/>
          <w:szCs w:val="21"/>
        </w:rPr>
        <w:t>坚持问题导向</w:t>
      </w:r>
      <w:r>
        <w:rPr>
          <w:rFonts w:hint="eastAsia" w:ascii="宋体" w:hAnsi="宋体"/>
          <w:szCs w:val="21"/>
        </w:rPr>
        <w:t>，</w:t>
      </w:r>
      <w:r>
        <w:rPr>
          <w:rFonts w:ascii="宋体" w:hAnsi="宋体"/>
          <w:szCs w:val="21"/>
        </w:rPr>
        <w:t>突出改革重点</w:t>
      </w:r>
      <w:r>
        <w:rPr>
          <w:rFonts w:hint="eastAsia" w:ascii="宋体" w:hAnsi="宋体"/>
          <w:szCs w:val="21"/>
        </w:rPr>
        <w:t>，完善体制机制，拓展服务领域，守住风险底线，加快打造服务农民生产生活的综合平台。2022年，主要经济指标同比增长10%，省社综合业绩考核位列第一梯队。</w:t>
      </w:r>
    </w:p>
    <w:p>
      <w:pPr>
        <w:spacing w:line="520" w:lineRule="exact"/>
        <w:ind w:firstLine="422" w:firstLineChars="200"/>
        <w:rPr>
          <w:rFonts w:ascii="宋体" w:hAnsi="宋体"/>
          <w:szCs w:val="21"/>
        </w:rPr>
      </w:pPr>
      <w:r>
        <w:rPr>
          <w:rFonts w:hint="eastAsia" w:ascii="宋体" w:hAnsi="宋体"/>
          <w:b/>
          <w:szCs w:val="21"/>
        </w:rPr>
        <w:t>（二）服务合作项目。</w:t>
      </w:r>
      <w:r>
        <w:rPr>
          <w:rFonts w:hint="eastAsia" w:ascii="宋体" w:hAnsi="宋体"/>
          <w:szCs w:val="21"/>
        </w:rPr>
        <w:t>贯彻落实9月13日市政府与中国供销集团、河北省供销社签署战略合作协议，积极加强与中国供销集团和项目所在县（市、区）的沟通对接，按照“五个一”工作机制，为中国供销集团—曹妃甸大宗商品智慧物流园区、“京津冀”优质高端农产品供应保障基地、城乡环境服务、社区综合服务中心、农业社会化服务体系建设等合作项目提供全方位服务，确保早日建成达效。</w:t>
      </w:r>
      <w:r>
        <w:rPr>
          <w:rFonts w:ascii="宋体" w:hAnsi="宋体"/>
          <w:szCs w:val="21"/>
        </w:rPr>
        <w:t xml:space="preserve"> </w:t>
      </w:r>
    </w:p>
    <w:p>
      <w:pPr>
        <w:spacing w:line="520" w:lineRule="exact"/>
        <w:ind w:firstLine="422" w:firstLineChars="200"/>
        <w:rPr>
          <w:rFonts w:hint="eastAsia" w:ascii="宋体" w:hAnsi="宋体"/>
          <w:szCs w:val="21"/>
        </w:rPr>
      </w:pPr>
      <w:r>
        <w:rPr>
          <w:rFonts w:hint="eastAsia" w:ascii="宋体" w:hAnsi="宋体"/>
          <w:b/>
          <w:szCs w:val="21"/>
        </w:rPr>
        <w:t>（三）提升服务能力。</w:t>
      </w:r>
      <w:r>
        <w:rPr>
          <w:rFonts w:hint="eastAsia" w:ascii="宋体" w:hAnsi="宋体"/>
          <w:szCs w:val="21"/>
        </w:rPr>
        <w:t>进一步发挥自身优势，重点在培育农民合作社、组织带动服务农民上下功夫。通过共同出资、共创品牌、共享利益等方式，带动更多农民参与现代农业发展。以浅埋滴灌节水农业为切入点，开展以土地流转、土地托管为主的农业社会化服务体系建设，全市供销社系统土地流转、土地托管面积同比增长10%以上，统防统治、配方施肥、农机服务面积分别达到60万亩、430万亩、580万亩。积极参与农村人居环境治理，全市供销社系统的农村生活垃圾回收、废旧农膜回收、农药包装废弃物回收数量同比增长10%，分别达到174吨、895吨、13吨。</w:t>
      </w:r>
    </w:p>
    <w:p>
      <w:pPr>
        <w:spacing w:line="520" w:lineRule="exact"/>
        <w:ind w:firstLine="422" w:firstLineChars="200"/>
        <w:rPr>
          <w:rFonts w:ascii="宋体" w:hAnsi="宋体"/>
          <w:szCs w:val="21"/>
        </w:rPr>
      </w:pPr>
      <w:r>
        <w:rPr>
          <w:rFonts w:hint="eastAsia" w:ascii="宋体" w:hAnsi="宋体"/>
          <w:b/>
          <w:szCs w:val="21"/>
        </w:rPr>
        <w:t>（四）夯实基层基础。</w:t>
      </w:r>
      <w:r>
        <w:rPr>
          <w:rFonts w:hint="eastAsia" w:ascii="宋体" w:hAnsi="宋体"/>
          <w:szCs w:val="21"/>
        </w:rPr>
        <w:t>强化基层供销社建设，打造为农服务综合体。2022年，改造升级20个薄弱基层社，新建30个村级综合服务站，新增基层社社员6000人，提高组织带动能力，助力乡村振兴。积极参加总社百强县级社、基层社标杆社、</w:t>
      </w:r>
      <w:r>
        <w:rPr>
          <w:rFonts w:ascii="宋体" w:hAnsi="宋体"/>
          <w:szCs w:val="21"/>
        </w:rPr>
        <w:t>农民专业合作社示范社以及</w:t>
      </w:r>
      <w:r>
        <w:rPr>
          <w:rFonts w:hint="eastAsia" w:ascii="宋体" w:hAnsi="宋体"/>
          <w:szCs w:val="21"/>
        </w:rPr>
        <w:t>省社农民专业合作社示范社创建。</w:t>
      </w:r>
    </w:p>
    <w:p>
      <w:pPr>
        <w:spacing w:line="520" w:lineRule="exact"/>
        <w:ind w:firstLine="422" w:firstLineChars="200"/>
        <w:rPr>
          <w:rFonts w:ascii="宋体" w:hAnsi="宋体"/>
          <w:szCs w:val="21"/>
        </w:rPr>
      </w:pPr>
      <w:r>
        <w:rPr>
          <w:rFonts w:hint="eastAsia" w:ascii="宋体" w:hAnsi="宋体"/>
          <w:b/>
          <w:szCs w:val="21"/>
        </w:rPr>
        <w:t>（五）优化流通网络。</w:t>
      </w:r>
      <w:r>
        <w:rPr>
          <w:rFonts w:hint="eastAsia" w:ascii="宋体" w:hAnsi="宋体"/>
          <w:szCs w:val="21"/>
        </w:rPr>
        <w:t>构建农产品市场体系，积极谋划、推进农产品加工、销售、市场、连锁、冷链物流、中央厨房等项目。推广农产品直采直销模式，组织开展产销对接活动。从农业生产者购进的农产品总额、连锁经营销售额、电子商务销售额、农产品电子商务销售额分别增长10%，分别达到150亿元、10亿元、10亿元、5亿元。</w:t>
      </w:r>
    </w:p>
    <w:p>
      <w:pPr>
        <w:spacing w:line="520" w:lineRule="exact"/>
        <w:ind w:firstLine="422" w:firstLineChars="200"/>
        <w:rPr>
          <w:rFonts w:hint="eastAsia" w:ascii="宋体" w:hAnsi="宋体"/>
          <w:szCs w:val="21"/>
        </w:rPr>
      </w:pPr>
      <w:r>
        <w:rPr>
          <w:rFonts w:hint="eastAsia" w:ascii="宋体" w:hAnsi="宋体"/>
          <w:b/>
          <w:szCs w:val="21"/>
        </w:rPr>
        <w:t>（六）推进社企改革。</w:t>
      </w:r>
      <w:r>
        <w:rPr>
          <w:rFonts w:hint="eastAsia" w:ascii="宋体" w:hAnsi="宋体"/>
          <w:szCs w:val="21"/>
        </w:rPr>
        <w:t>加快企业改造重组，完善法人治理结构，加快建立现代企业制度，激发企业内部活力。巩固再生资源、盐业、棉花、农资、农产品等传统行业，延伸经营服务终端，加强社有资产管理运营，抓好在建项目，全面化解各类风险。</w:t>
      </w:r>
    </w:p>
    <w:p>
      <w:pPr>
        <w:spacing w:line="520" w:lineRule="exact"/>
        <w:ind w:firstLine="422" w:firstLineChars="200"/>
        <w:rPr>
          <w:rFonts w:hint="eastAsia" w:ascii="宋体" w:hAnsi="宋体"/>
          <w:szCs w:val="21"/>
        </w:rPr>
      </w:pPr>
      <w:r>
        <w:rPr>
          <w:rFonts w:hint="eastAsia" w:ascii="宋体" w:hAnsi="宋体"/>
          <w:b/>
          <w:szCs w:val="21"/>
        </w:rPr>
        <w:t>（七）创新治理机制。</w:t>
      </w:r>
      <w:r>
        <w:rPr>
          <w:rFonts w:hint="eastAsia" w:ascii="宋体" w:hAnsi="宋体"/>
          <w:szCs w:val="21"/>
        </w:rPr>
        <w:t>加快推进联合社体制改革和机制创新，健全社员代表大会、理事会、监事会组织架构，完善相关议事决策规则，强化民主管理、民主监督。建立起符合供销社实际的行业指导体系，进一步优化机构设置、职能配置，健全民主集中制，提高科学决策、民主决策水平，促进社有资产保值增值。</w:t>
      </w:r>
    </w:p>
    <w:p>
      <w:pPr>
        <w:spacing w:line="520" w:lineRule="exact"/>
        <w:ind w:firstLine="422" w:firstLineChars="200"/>
        <w:rPr>
          <w:rFonts w:hint="eastAsia" w:ascii="宋体" w:hAnsi="宋体"/>
          <w:szCs w:val="21"/>
        </w:rPr>
      </w:pPr>
      <w:r>
        <w:rPr>
          <w:rFonts w:hint="eastAsia" w:ascii="宋体" w:hAnsi="宋体"/>
          <w:b/>
          <w:szCs w:val="21"/>
        </w:rPr>
        <w:t>（八）加强廉政建设。</w:t>
      </w:r>
      <w:r>
        <w:rPr>
          <w:rFonts w:hint="eastAsia" w:ascii="宋体" w:hAnsi="宋体"/>
          <w:szCs w:val="21"/>
        </w:rPr>
        <w:t>把加强党风廉政建设作为一项重要政治任务，持之以恒正风肃纪。深入开展纪律教育、警示教育，切实用好各类内部监督资源，强化对关键领域、关键环节的监督，形成监督合力，提高监督实效。弘扬“扁担精神”、“背篓精神”等优良传统，坚持为农、务农、姓农价值理念，以优良传统涵养风清气正的政治生态。</w:t>
      </w:r>
    </w:p>
    <w:p>
      <w:pPr>
        <w:pStyle w:val="7"/>
        <w:spacing w:before="0" w:beforeAutospacing="0" w:after="0" w:afterAutospacing="0" w:line="600" w:lineRule="exact"/>
        <w:ind w:left="2" w:firstLine="401" w:firstLineChars="191"/>
        <w:jc w:val="both"/>
        <w:rPr>
          <w:rFonts w:hint="eastAsia"/>
          <w:sz w:val="21"/>
          <w:szCs w:val="21"/>
        </w:rPr>
      </w:pPr>
    </w:p>
    <w:p>
      <w:pPr>
        <w:rPr>
          <w:rFonts w:ascii="宋体" w:hAnsi="宋体"/>
          <w:szCs w:val="21"/>
        </w:rPr>
      </w:pPr>
    </w:p>
    <w:p>
      <w:pPr>
        <w:jc w:val="left"/>
        <w:rPr>
          <w:rFonts w:ascii="宋体" w:hAnsi="宋体" w:eastAsia="宋体"/>
          <w:b/>
          <w:color w:val="000000"/>
          <w:sz w:val="28"/>
        </w:rPr>
      </w:pPr>
      <w:r>
        <w:rPr>
          <w:rFonts w:ascii="宋体" w:hAnsi="宋体" w:eastAsia="宋体"/>
          <w:b/>
          <w:color w:val="000000"/>
          <w:sz w:val="28"/>
        </w:rPr>
        <w:t>四、唐山市供销合作总社部门总体绩效目标</w:t>
      </w:r>
    </w:p>
    <w:p>
      <w:pPr>
        <w:spacing w:line="530" w:lineRule="exact"/>
        <w:ind w:firstLine="403" w:firstLineChars="192"/>
        <w:rPr>
          <w:rFonts w:hint="eastAsia" w:ascii="宋体" w:hAnsi="宋体"/>
          <w:szCs w:val="21"/>
        </w:rPr>
      </w:pPr>
      <w:r>
        <w:rPr>
          <w:rFonts w:hint="eastAsia" w:ascii="宋体" w:hAnsi="宋体"/>
          <w:szCs w:val="21"/>
        </w:rPr>
        <w:t>市供销社将以习近平新时代中国特色社会主义思想为指导，认真贯彻落实党的十九届四中全会、省委九届九次全会精神，按照市委市委十届八次全会部署，以实施乡村振兴战略为引领，以为农服务为宗旨，</w:t>
      </w:r>
      <w:r>
        <w:rPr>
          <w:rFonts w:ascii="宋体" w:hAnsi="宋体" w:cs="宋体"/>
          <w:kern w:val="0"/>
          <w:szCs w:val="21"/>
        </w:rPr>
        <w:t>认真履行职责，扎实开展工作，</w:t>
      </w:r>
      <w:r>
        <w:rPr>
          <w:rFonts w:hint="eastAsia" w:ascii="宋体" w:hAnsi="宋体"/>
          <w:szCs w:val="21"/>
        </w:rPr>
        <w:t>着力提升综合服务能力，深化体制机制改革，做强做大主营业务，加快打造服务农民生产生活的生力军和综合平台，定性工作力争优秀，定量工作“保三争二冲一” 整体工作在全省领先，全国有位，以出色的工作业绩，为唐山加快实现“三个努力建成”“两个率先”贡献供销力量。</w:t>
      </w:r>
    </w:p>
    <w:p>
      <w:pPr>
        <w:spacing w:line="530" w:lineRule="exact"/>
        <w:ind w:firstLine="405" w:firstLineChars="192"/>
        <w:rPr>
          <w:rFonts w:hint="eastAsia" w:ascii="宋体" w:hAnsi="宋体"/>
          <w:b/>
          <w:szCs w:val="21"/>
        </w:rPr>
      </w:pPr>
      <w:r>
        <w:rPr>
          <w:rFonts w:hint="eastAsia" w:ascii="宋体" w:hAnsi="宋体"/>
          <w:b/>
          <w:szCs w:val="21"/>
        </w:rPr>
        <w:t>一是认真贯彻落实中央、省、市关于供销社综合改革的决策部署，确保各项任务落实到位</w:t>
      </w:r>
    </w:p>
    <w:p>
      <w:pPr>
        <w:spacing w:line="530" w:lineRule="exact"/>
        <w:ind w:firstLine="403" w:firstLineChars="192"/>
        <w:rPr>
          <w:rFonts w:hint="eastAsia" w:ascii="宋体" w:hAnsi="宋体"/>
          <w:szCs w:val="21"/>
        </w:rPr>
      </w:pPr>
      <w:r>
        <w:rPr>
          <w:rFonts w:hint="eastAsia" w:ascii="宋体" w:hAnsi="宋体"/>
          <w:szCs w:val="21"/>
        </w:rPr>
        <w:t>中央、省、市对供销社改革发展作出一系列决策部署，明确了新时代供销社工作的大政方针和目标任务。市供销社将自觉提高政治站位，对标改革目标任务，特别是202</w:t>
      </w:r>
      <w:r>
        <w:rPr>
          <w:rFonts w:hint="eastAsia" w:ascii="宋体" w:hAnsi="宋体"/>
          <w:szCs w:val="21"/>
          <w:lang w:val="en-US" w:eastAsia="zh-CN"/>
        </w:rPr>
        <w:t>2</w:t>
      </w:r>
      <w:r>
        <w:rPr>
          <w:rFonts w:hint="eastAsia" w:ascii="宋体" w:hAnsi="宋体"/>
          <w:szCs w:val="21"/>
        </w:rPr>
        <w:t>年必须完成的阶段性任务，认真梳理总结，列出清单，建立台账，明确时间表和责任人，确保文件提出的各项要求部署落实到位，把改革的硬任务不折不扣完成好。</w:t>
      </w:r>
    </w:p>
    <w:p>
      <w:pPr>
        <w:spacing w:line="530" w:lineRule="exact"/>
        <w:ind w:firstLine="405" w:firstLineChars="192"/>
        <w:rPr>
          <w:rFonts w:hint="eastAsia" w:ascii="宋体" w:hAnsi="宋体"/>
          <w:b/>
          <w:szCs w:val="21"/>
        </w:rPr>
      </w:pPr>
      <w:r>
        <w:rPr>
          <w:rFonts w:hint="eastAsia" w:ascii="宋体" w:hAnsi="宋体"/>
          <w:b/>
          <w:szCs w:val="21"/>
        </w:rPr>
        <w:t>二是围绕乡村振兴，发挥独特优势，促进小农户与现代农业发展有机衔接</w:t>
      </w:r>
    </w:p>
    <w:p>
      <w:pPr>
        <w:spacing w:line="530" w:lineRule="exact"/>
        <w:ind w:firstLine="422" w:firstLineChars="201"/>
        <w:rPr>
          <w:rFonts w:hint="eastAsia" w:ascii="宋体" w:hAnsi="宋体"/>
          <w:szCs w:val="21"/>
        </w:rPr>
      </w:pPr>
      <w:r>
        <w:rPr>
          <w:rFonts w:hint="eastAsia" w:ascii="宋体" w:hAnsi="宋体"/>
          <w:szCs w:val="21"/>
        </w:rPr>
        <w:t>进一步发挥自身优势，重点在培育农民合作社、组织带动服务农民上下功夫。通过共同出资、共创品牌、共享利益等方式，领办创办一批规范运作、带动力强的农民合作社，带动更多农民参与现代农业发展。加快推广土地托管、生产供销信用“三位一体”综合合作等经验做法，与农民建立紧密的产业与利益联结，探索更多适合小农户生产特点的社会化服务。规范开展农村金融服务，总结推广“农权贷”“政银社户保”金融惠农试点，防范和化解金融风险，探索具有供销社特色的农村金融服务路子。</w:t>
      </w:r>
    </w:p>
    <w:p>
      <w:pPr>
        <w:spacing w:line="530" w:lineRule="exact"/>
        <w:ind w:firstLine="405" w:firstLineChars="192"/>
        <w:rPr>
          <w:rFonts w:hint="eastAsia" w:ascii="宋体" w:hAnsi="宋体"/>
          <w:b/>
          <w:szCs w:val="21"/>
        </w:rPr>
      </w:pPr>
      <w:r>
        <w:rPr>
          <w:rFonts w:hint="eastAsia" w:ascii="宋体" w:hAnsi="宋体"/>
          <w:b/>
          <w:szCs w:val="21"/>
        </w:rPr>
        <w:t>三是加快提升现代流通服务水平，不断开拓农村市场</w:t>
      </w:r>
    </w:p>
    <w:p>
      <w:pPr>
        <w:spacing w:line="530" w:lineRule="exact"/>
        <w:ind w:firstLine="420" w:firstLineChars="200"/>
        <w:rPr>
          <w:rFonts w:hint="eastAsia" w:ascii="宋体" w:hAnsi="宋体"/>
          <w:szCs w:val="21"/>
        </w:rPr>
      </w:pPr>
      <w:r>
        <w:rPr>
          <w:rFonts w:hint="eastAsia" w:ascii="宋体" w:hAnsi="宋体"/>
          <w:szCs w:val="21"/>
        </w:rPr>
        <w:t>发挥供销社扎根农村、联结城乡的优势，在满足城乡居民消费需求升级等方面，发挥更大作用。以“供销社区生鲜店”为抓手，大力推进多种形式的产销对接，推动农产品集采集配、直供直销，减少流通环节，提高流通效率。增强供销社经营网络的综合服务功能，结合农村人居环境整治、农村新居建设、扶贫易地搬迁等，延伸流通服务网点，完善经营服务功能，为农民提供家门口的便利服务。加快建设供销系统“线上线下一体化”电商平台。积极培育开发新型业态，打造综合服务平台，满足群众消费需求。</w:t>
      </w:r>
    </w:p>
    <w:p>
      <w:pPr>
        <w:spacing w:line="530" w:lineRule="exact"/>
        <w:ind w:firstLine="405" w:firstLineChars="192"/>
        <w:rPr>
          <w:rFonts w:hint="eastAsia" w:ascii="宋体" w:hAnsi="宋体"/>
          <w:b/>
          <w:szCs w:val="21"/>
        </w:rPr>
      </w:pPr>
      <w:r>
        <w:rPr>
          <w:rFonts w:hint="eastAsia" w:ascii="宋体" w:hAnsi="宋体"/>
          <w:b/>
          <w:szCs w:val="21"/>
        </w:rPr>
        <w:t>四是按照高质量发展要求，提高社有企业发展质量和效益</w:t>
      </w:r>
    </w:p>
    <w:p>
      <w:pPr>
        <w:spacing w:line="530" w:lineRule="exact"/>
        <w:ind w:firstLine="422" w:firstLineChars="201"/>
        <w:rPr>
          <w:rFonts w:hint="eastAsia" w:ascii="宋体" w:hAnsi="宋体"/>
          <w:szCs w:val="21"/>
        </w:rPr>
      </w:pPr>
      <w:r>
        <w:rPr>
          <w:rFonts w:hint="eastAsia" w:ascii="宋体" w:hAnsi="宋体"/>
          <w:szCs w:val="21"/>
        </w:rPr>
        <w:t>推进供销改革，实现社有资本与国有资本、民营资本有机联结，释放社有企业的内生动力和发展活力。坚持实行开放办社，面向市场，推进产品、服务、商业模式创新，全面抓好在建项目，加强社有资产管理运营，切实防范和化解风险，推动社属企业做大做强做优。</w:t>
      </w:r>
    </w:p>
    <w:p>
      <w:pPr>
        <w:spacing w:line="530" w:lineRule="exact"/>
        <w:ind w:firstLine="3570" w:firstLineChars="1700"/>
        <w:rPr>
          <w:rFonts w:hint="eastAsia" w:ascii="宋体" w:hAnsi="宋体"/>
          <w:szCs w:val="21"/>
        </w:rPr>
      </w:pPr>
    </w:p>
    <w:p>
      <w:pPr>
        <w:jc w:val="left"/>
        <w:rPr>
          <w:rFonts w:ascii="宋体" w:hAnsi="宋体" w:eastAsia="宋体"/>
          <w:b/>
          <w:color w:val="000000"/>
          <w:sz w:val="28"/>
        </w:rPr>
      </w:pPr>
      <w:r>
        <w:rPr>
          <w:rFonts w:ascii="宋体" w:hAnsi="宋体" w:eastAsia="宋体"/>
          <w:b/>
          <w:color w:val="000000"/>
          <w:sz w:val="28"/>
        </w:rPr>
        <w:t>五、唐山市供销合作总社及其所属单位有关财政政策</w:t>
      </w:r>
    </w:p>
    <w:p>
      <w:pPr>
        <w:jc w:val="left"/>
        <w:rPr>
          <w:rFonts w:ascii="仿宋" w:hAnsi="仿宋" w:eastAsia="仿宋"/>
          <w:color w:val="000000"/>
          <w:sz w:val="28"/>
        </w:rPr>
      </w:pPr>
      <w:r>
        <w:rPr>
          <w:rFonts w:ascii="仿宋" w:hAnsi="仿宋" w:eastAsia="仿宋"/>
          <w:color w:val="000000"/>
          <w:sz w:val="28"/>
        </w:rPr>
        <w:t>（1）唐山市供销合作总社为财政性资金基本保证经费的参公单位</w:t>
      </w:r>
    </w:p>
    <w:p>
      <w:pPr>
        <w:jc w:val="left"/>
        <w:rPr>
          <w:rFonts w:ascii="仿宋" w:hAnsi="仿宋" w:eastAsia="仿宋"/>
          <w:color w:val="000000"/>
          <w:sz w:val="28"/>
        </w:rPr>
        <w:sectPr>
          <w:footerReference r:id="rId9" w:type="default"/>
          <w:pgSz w:w="11906" w:h="16838"/>
          <w:pgMar w:top="1440" w:right="1800" w:bottom="1440" w:left="1800" w:header="851" w:footer="992" w:gutter="0"/>
          <w:pgNumType w:start="1"/>
          <w:cols w:space="425" w:num="1"/>
          <w:docGrid w:type="lines" w:linePitch="312" w:charSpace="0"/>
        </w:sectPr>
      </w:pPr>
    </w:p>
    <w:p>
      <w:pPr>
        <w:pStyle w:val="8"/>
        <w:rPr>
          <w:rFonts w:hint="eastAsia"/>
        </w:rPr>
      </w:pPr>
      <w:bookmarkStart w:id="1" w:name="_Toc91779123"/>
      <w:r>
        <w:rPr>
          <w:rFonts w:hint="eastAsia"/>
        </w:rPr>
        <w:t>部门收支预算总表</w:t>
      </w:r>
      <w:bookmarkEnd w:id="1"/>
    </w:p>
    <w:tbl>
      <w:tblPr>
        <w:tblStyle w:val="9"/>
        <w:tblW w:w="9379" w:type="dxa"/>
        <w:jc w:val="center"/>
        <w:tblLayout w:type="autofit"/>
        <w:tblCellMar>
          <w:top w:w="0" w:type="dxa"/>
          <w:left w:w="108" w:type="dxa"/>
          <w:bottom w:w="0" w:type="dxa"/>
          <w:right w:w="108" w:type="dxa"/>
        </w:tblCellMar>
      </w:tblPr>
      <w:tblGrid>
        <w:gridCol w:w="1396"/>
        <w:gridCol w:w="4961"/>
        <w:gridCol w:w="3022"/>
      </w:tblGrid>
      <w:tr>
        <w:tblPrEx>
          <w:tblCellMar>
            <w:top w:w="0" w:type="dxa"/>
            <w:left w:w="108" w:type="dxa"/>
            <w:bottom w:w="0" w:type="dxa"/>
            <w:right w:w="108" w:type="dxa"/>
          </w:tblCellMar>
        </w:tblPrEx>
        <w:trPr>
          <w:cantSplit/>
          <w:trHeight w:val="312" w:hRule="atLeast"/>
          <w:tblHeader/>
          <w:jc w:val="center"/>
        </w:trPr>
        <w:tc>
          <w:tcPr>
            <w:tcW w:w="6357" w:type="dxa"/>
            <w:gridSpan w:val="2"/>
            <w:tcBorders>
              <w:bottom w:val="single" w:color="auto" w:sz="4" w:space="0"/>
            </w:tcBorders>
            <w:shd w:val="clear" w:color="auto" w:fill="auto"/>
            <w:noWrap/>
            <w:vAlign w:val="center"/>
          </w:tcPr>
          <w:p>
            <w:pPr>
              <w:widowControl/>
              <w:jc w:val="left"/>
              <w:rPr>
                <w:rFonts w:hint="eastAsia" w:ascii="黑体" w:eastAsia="黑体"/>
                <w:b/>
              </w:rPr>
            </w:pPr>
            <w:r>
              <w:rPr>
                <w:rFonts w:ascii="宋体" w:hAnsi="宋体"/>
                <w:sz w:val="28"/>
              </w:rPr>
              <w:t>620唐山市供销合作总社</w:t>
            </w:r>
          </w:p>
        </w:tc>
        <w:tc>
          <w:tcPr>
            <w:tcW w:w="3022" w:type="dxa"/>
            <w:tcBorders>
              <w:bottom w:val="single" w:color="auto" w:sz="4" w:space="0"/>
            </w:tcBorders>
            <w:shd w:val="clear" w:color="auto" w:fill="auto"/>
            <w:noWrap/>
            <w:vAlign w:val="center"/>
          </w:tcPr>
          <w:p>
            <w:pPr>
              <w:widowControl/>
              <w:jc w:val="right"/>
              <w:rPr>
                <w:rFonts w:hint="eastAsia" w:ascii="黑体" w:eastAsia="黑体"/>
                <w:b/>
              </w:rPr>
            </w:pPr>
            <w:r>
              <w:rPr>
                <w:rFonts w:ascii="宋体" w:hAnsi="宋体"/>
                <w:sz w:val="24"/>
              </w:rPr>
              <w:t>单位：万元</w:t>
            </w:r>
          </w:p>
        </w:tc>
      </w:tr>
      <w:tr>
        <w:tblPrEx>
          <w:tblCellMar>
            <w:top w:w="0" w:type="dxa"/>
            <w:left w:w="108" w:type="dxa"/>
            <w:bottom w:w="0" w:type="dxa"/>
            <w:right w:w="108" w:type="dxa"/>
          </w:tblCellMar>
        </w:tblPrEx>
        <w:trPr>
          <w:cantSplit/>
          <w:trHeight w:val="312" w:hRule="atLeast"/>
          <w:tblHeader/>
          <w:jc w:val="center"/>
        </w:trPr>
        <w:tc>
          <w:tcPr>
            <w:tcW w:w="139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Arial"/>
                <w:b/>
                <w:kern w:val="0"/>
                <w:szCs w:val="21"/>
              </w:rPr>
            </w:pPr>
            <w:r>
              <w:rPr>
                <w:rFonts w:hint="eastAsia" w:ascii="黑体" w:eastAsia="黑体"/>
                <w:b/>
              </w:rPr>
              <w:t>项目代码</w:t>
            </w:r>
          </w:p>
        </w:tc>
        <w:tc>
          <w:tcPr>
            <w:tcW w:w="496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Arial"/>
                <w:b/>
                <w:kern w:val="0"/>
                <w:szCs w:val="21"/>
              </w:rPr>
            </w:pPr>
            <w:r>
              <w:rPr>
                <w:rFonts w:hint="eastAsia" w:ascii="黑体" w:eastAsia="黑体"/>
                <w:b/>
              </w:rPr>
              <w:t>预算收支项目</w:t>
            </w:r>
          </w:p>
        </w:tc>
        <w:tc>
          <w:tcPr>
            <w:tcW w:w="302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Arial"/>
                <w:b/>
                <w:kern w:val="0"/>
                <w:szCs w:val="21"/>
              </w:rPr>
            </w:pPr>
            <w:r>
              <w:rPr>
                <w:rFonts w:hint="eastAsia" w:ascii="黑体" w:eastAsia="黑体"/>
                <w:b/>
              </w:rPr>
              <w:t>预算金额</w:t>
            </w:r>
          </w:p>
        </w:tc>
      </w:tr>
      <w:tr>
        <w:tblPrEx>
          <w:tblCellMar>
            <w:top w:w="0" w:type="dxa"/>
            <w:left w:w="108" w:type="dxa"/>
            <w:bottom w:w="0" w:type="dxa"/>
            <w:right w:w="108" w:type="dxa"/>
          </w:tblCellMar>
        </w:tblPrEx>
        <w:trPr>
          <w:cantSplit/>
          <w:trHeight w:val="312" w:hRule="atLeast"/>
          <w:tblHeader/>
          <w:jc w:val="center"/>
        </w:trPr>
        <w:tc>
          <w:tcPr>
            <w:tcW w:w="139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p>
        </w:tc>
        <w:tc>
          <w:tcPr>
            <w:tcW w:w="496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p>
        </w:tc>
        <w:tc>
          <w:tcPr>
            <w:tcW w:w="302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p>
        </w:tc>
      </w:tr>
      <w:tr>
        <w:tblPrEx>
          <w:tblCellMar>
            <w:top w:w="0" w:type="dxa"/>
            <w:left w:w="108" w:type="dxa"/>
            <w:bottom w:w="0" w:type="dxa"/>
            <w:right w:w="108" w:type="dxa"/>
          </w:tblCellMar>
        </w:tblPrEx>
        <w:trPr>
          <w:cantSplit/>
          <w:trHeight w:val="312" w:hRule="atLeast"/>
          <w:tblHeader/>
          <w:jc w:val="center"/>
        </w:trPr>
        <w:tc>
          <w:tcPr>
            <w:tcW w:w="139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p>
        </w:tc>
        <w:tc>
          <w:tcPr>
            <w:tcW w:w="302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预算收入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741.92</w:t>
            </w: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一般公共预算拨款</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741.92</w:t>
            </w: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其中：财政拨款（补助）收入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741.92</w:t>
            </w: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行政事业性收费</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罚没收入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专项收入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国有资源（资产）有偿使用收入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国有资本经营收入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政府住房基金收入（原债务收入）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上级转移支付资金</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其中：一般性转移支付</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专项转移支付</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其他</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政府性基金预算拨款安排</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国有资本经营预算收入安排</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其他来源收入安排</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其中：事业收入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上级补助收入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附属单位上缴收入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用事业基金弥补收支差额</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其他收入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纳入财政专户</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高中及其以上教育收费</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预算支出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741.92</w:t>
            </w: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人员经费支出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582.45</w:t>
            </w: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其中：工资福利支出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448.68</w:t>
            </w: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对个人和家庭补助</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133.77</w:t>
            </w: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公用经费支出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109.47</w:t>
            </w: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其中：正常公用经费支出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105.74</w:t>
            </w: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专项公用经费支出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3.73</w:t>
            </w: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专项项目支出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50</w:t>
            </w: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其他支出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结    余</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bl>
    <w:p>
      <w:pPr>
        <w:spacing w:line="20" w:lineRule="exact"/>
        <w:jc w:val="left"/>
        <w:rPr>
          <w:rFonts w:hint="eastAsia"/>
        </w:rPr>
      </w:pPr>
    </w:p>
    <w:p>
      <w:pPr>
        <w:jc w:val="left"/>
        <w:rPr>
          <w:rFonts w:ascii="仿宋" w:hAnsi="仿宋" w:eastAsia="仿宋"/>
          <w:color w:val="000000"/>
          <w:sz w:val="28"/>
        </w:rPr>
        <w:sectPr>
          <w:headerReference r:id="rId10" w:type="default"/>
          <w:pgSz w:w="11906" w:h="16838"/>
          <w:pgMar w:top="1440" w:right="1800" w:bottom="1440" w:left="1800" w:header="851" w:footer="992" w:gutter="0"/>
          <w:cols w:space="425" w:num="1"/>
          <w:docGrid w:type="lines" w:linePitch="312" w:charSpace="0"/>
        </w:sectPr>
      </w:pPr>
    </w:p>
    <w:p>
      <w:pPr>
        <w:pStyle w:val="8"/>
        <w:rPr>
          <w:rFonts w:hint="eastAsia" w:ascii="黑体" w:hAnsi="黑体" w:eastAsia="黑体"/>
        </w:rPr>
      </w:pPr>
      <w:bookmarkStart w:id="2" w:name="_Toc91779124"/>
      <w:r>
        <w:rPr>
          <w:rFonts w:hint="eastAsia" w:ascii="黑体" w:hAnsi="黑体" w:eastAsia="黑体"/>
        </w:rPr>
        <w:t>部门基本支出预算表</w:t>
      </w:r>
      <w:bookmarkEnd w:id="2"/>
    </w:p>
    <w:tbl>
      <w:tblPr>
        <w:tblStyle w:val="9"/>
        <w:tblW w:w="14112" w:type="dxa"/>
        <w:tblInd w:w="93" w:type="dxa"/>
        <w:tblLayout w:type="autofit"/>
        <w:tblCellMar>
          <w:top w:w="0" w:type="dxa"/>
          <w:left w:w="108" w:type="dxa"/>
          <w:bottom w:w="0" w:type="dxa"/>
          <w:right w:w="108" w:type="dxa"/>
        </w:tblCellMar>
      </w:tblPr>
      <w:tblGrid>
        <w:gridCol w:w="1433"/>
        <w:gridCol w:w="4678"/>
        <w:gridCol w:w="1417"/>
        <w:gridCol w:w="1418"/>
        <w:gridCol w:w="1275"/>
        <w:gridCol w:w="363"/>
        <w:gridCol w:w="1055"/>
        <w:gridCol w:w="1276"/>
        <w:gridCol w:w="1197"/>
      </w:tblGrid>
      <w:tr>
        <w:tblPrEx>
          <w:tblCellMar>
            <w:top w:w="0" w:type="dxa"/>
            <w:left w:w="108" w:type="dxa"/>
            <w:bottom w:w="0" w:type="dxa"/>
            <w:right w:w="108" w:type="dxa"/>
          </w:tblCellMar>
        </w:tblPrEx>
        <w:trPr>
          <w:cantSplit/>
          <w:trHeight w:val="295" w:hRule="atLeast"/>
          <w:tblHeader/>
        </w:trPr>
        <w:tc>
          <w:tcPr>
            <w:tcW w:w="10584" w:type="dxa"/>
            <w:gridSpan w:val="6"/>
            <w:tcBorders>
              <w:top w:val="nil"/>
              <w:left w:val="nil"/>
              <w:bottom w:val="single" w:color="auto" w:sz="4" w:space="0"/>
              <w:right w:val="nil"/>
            </w:tcBorders>
            <w:shd w:val="clear" w:color="auto" w:fill="auto"/>
            <w:noWrap/>
            <w:vAlign w:val="bottom"/>
          </w:tcPr>
          <w:p>
            <w:pPr>
              <w:widowControl/>
              <w:jc w:val="left"/>
              <w:rPr>
                <w:rFonts w:ascii="宋体" w:hAnsi="宋体" w:cs="宋体"/>
                <w:color w:val="000000"/>
                <w:kern w:val="0"/>
                <w:sz w:val="28"/>
                <w:szCs w:val="28"/>
              </w:rPr>
            </w:pPr>
            <w:r>
              <w:rPr>
                <w:rFonts w:ascii="宋体" w:hAnsi="宋体" w:cs="宋体"/>
                <w:color w:val="000000"/>
                <w:kern w:val="0"/>
                <w:sz w:val="28"/>
                <w:szCs w:val="28"/>
              </w:rPr>
              <w:t>620唐山市供销合作总社</w:t>
            </w:r>
          </w:p>
        </w:tc>
        <w:tc>
          <w:tcPr>
            <w:tcW w:w="3528" w:type="dxa"/>
            <w:gridSpan w:val="3"/>
            <w:tcBorders>
              <w:top w:val="nil"/>
              <w:left w:val="nil"/>
              <w:bottom w:val="single" w:color="auto" w:sz="4" w:space="0"/>
              <w:right w:val="nil"/>
            </w:tcBorders>
            <w:shd w:val="clear" w:color="auto" w:fill="auto"/>
            <w:noWrap/>
            <w:vAlign w:val="bottom"/>
          </w:tcPr>
          <w:p>
            <w:pPr>
              <w:widowControl/>
              <w:jc w:val="right"/>
              <w:rPr>
                <w:rFonts w:ascii="宋体" w:hAnsi="宋体" w:cs="宋体"/>
                <w:color w:val="000000"/>
                <w:kern w:val="0"/>
                <w:sz w:val="28"/>
                <w:szCs w:val="28"/>
              </w:rPr>
            </w:pPr>
            <w:r>
              <w:rPr>
                <w:rFonts w:hint="eastAsia" w:ascii="宋体" w:hAnsi="宋体" w:cs="宋体"/>
                <w:color w:val="000000"/>
                <w:kern w:val="0"/>
                <w:sz w:val="28"/>
                <w:szCs w:val="28"/>
              </w:rPr>
              <w:t>单位：万元</w:t>
            </w:r>
          </w:p>
        </w:tc>
      </w:tr>
      <w:tr>
        <w:tblPrEx>
          <w:tblCellMar>
            <w:top w:w="0" w:type="dxa"/>
            <w:left w:w="108" w:type="dxa"/>
            <w:bottom w:w="0" w:type="dxa"/>
            <w:right w:w="108" w:type="dxa"/>
          </w:tblCellMar>
        </w:tblPrEx>
        <w:trPr>
          <w:cantSplit/>
          <w:trHeight w:val="295" w:hRule="atLeast"/>
          <w:tblHeader/>
        </w:trPr>
        <w:tc>
          <w:tcPr>
            <w:tcW w:w="143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黑体" w:eastAsia="黑体"/>
                <w:b/>
              </w:rPr>
              <w:t>经济分类科目编码</w:t>
            </w:r>
          </w:p>
        </w:tc>
        <w:tc>
          <w:tcPr>
            <w:tcW w:w="467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黑体" w:hAnsi="黑体" w:eastAsia="黑体" w:cs="宋体"/>
                <w:b/>
                <w:bCs/>
                <w:color w:val="000000"/>
                <w:kern w:val="0"/>
                <w:szCs w:val="21"/>
              </w:rPr>
              <w:t>预算支出项目</w:t>
            </w:r>
          </w:p>
        </w:tc>
        <w:tc>
          <w:tcPr>
            <w:tcW w:w="8001" w:type="dxa"/>
            <w:gridSpan w:val="7"/>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黑体" w:hAnsi="黑体" w:eastAsia="黑体" w:cs="宋体"/>
                <w:b/>
                <w:bCs/>
                <w:color w:val="000000"/>
                <w:kern w:val="0"/>
                <w:szCs w:val="21"/>
              </w:rPr>
              <w:t>经 费 来 源</w:t>
            </w:r>
          </w:p>
        </w:tc>
      </w:tr>
      <w:tr>
        <w:tblPrEx>
          <w:tblCellMar>
            <w:top w:w="0" w:type="dxa"/>
            <w:left w:w="108" w:type="dxa"/>
            <w:bottom w:w="0" w:type="dxa"/>
            <w:right w:w="108" w:type="dxa"/>
          </w:tblCellMar>
        </w:tblPrEx>
        <w:trPr>
          <w:cantSplit/>
          <w:trHeight w:val="341" w:hRule="atLeast"/>
          <w:tblHeader/>
        </w:trPr>
        <w:tc>
          <w:tcPr>
            <w:tcW w:w="1433"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4678"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41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黑体" w:hAnsi="黑体" w:eastAsia="黑体" w:cs="宋体"/>
                <w:b/>
                <w:bCs/>
                <w:color w:val="000000"/>
                <w:kern w:val="0"/>
                <w:szCs w:val="21"/>
              </w:rPr>
              <w:t>合 计</w:t>
            </w:r>
          </w:p>
        </w:tc>
        <w:tc>
          <w:tcPr>
            <w:tcW w:w="141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黑体" w:hAnsi="黑体" w:eastAsia="黑体" w:cs="宋体"/>
                <w:b/>
                <w:bCs/>
                <w:color w:val="000000"/>
                <w:kern w:val="0"/>
                <w:szCs w:val="21"/>
              </w:rPr>
              <w:t>一般公共预算拨款安排</w:t>
            </w:r>
          </w:p>
        </w:tc>
        <w:tc>
          <w:tcPr>
            <w:tcW w:w="127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黑体" w:hAnsi="黑体" w:eastAsia="黑体" w:cs="宋体"/>
                <w:b/>
                <w:bCs/>
                <w:color w:val="000000"/>
                <w:kern w:val="0"/>
                <w:szCs w:val="21"/>
              </w:rPr>
              <w:t>政府性基金预算拨款安排</w:t>
            </w:r>
          </w:p>
        </w:tc>
        <w:tc>
          <w:tcPr>
            <w:tcW w:w="1418"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黑体" w:hAnsi="黑体" w:eastAsia="黑体" w:cs="宋体"/>
                <w:b/>
                <w:bCs/>
                <w:color w:val="000000"/>
                <w:kern w:val="0"/>
                <w:szCs w:val="21"/>
              </w:rPr>
              <w:t>国有资本经营预算拨款安排</w:t>
            </w:r>
          </w:p>
        </w:tc>
        <w:tc>
          <w:tcPr>
            <w:tcW w:w="127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黑体" w:hAnsi="黑体" w:eastAsia="黑体" w:cs="宋体"/>
                <w:b/>
                <w:bCs/>
                <w:color w:val="000000"/>
                <w:kern w:val="0"/>
                <w:szCs w:val="21"/>
              </w:rPr>
              <w:t>其他来源收入安排</w:t>
            </w:r>
          </w:p>
        </w:tc>
        <w:tc>
          <w:tcPr>
            <w:tcW w:w="119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黑体" w:hAnsi="黑体" w:eastAsia="黑体" w:cs="宋体"/>
                <w:b/>
                <w:bCs/>
                <w:color w:val="000000"/>
                <w:kern w:val="0"/>
                <w:szCs w:val="21"/>
              </w:rPr>
              <w:t>高中及其以上教育收费</w:t>
            </w:r>
          </w:p>
        </w:tc>
      </w:tr>
      <w:tr>
        <w:tblPrEx>
          <w:tblCellMar>
            <w:top w:w="0" w:type="dxa"/>
            <w:left w:w="108" w:type="dxa"/>
            <w:bottom w:w="0" w:type="dxa"/>
            <w:right w:w="108" w:type="dxa"/>
          </w:tblCellMar>
        </w:tblPrEx>
        <w:trPr>
          <w:cantSplit/>
          <w:trHeight w:val="341" w:hRule="atLeast"/>
          <w:tblHeader/>
        </w:trPr>
        <w:tc>
          <w:tcPr>
            <w:tcW w:w="14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467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4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1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41" w:hRule="atLeast"/>
          <w:tblHeader/>
        </w:trPr>
        <w:tc>
          <w:tcPr>
            <w:tcW w:w="14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467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4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9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人员经费</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582.45</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582.45</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一、工资福利支出</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448.68</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448.68</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30101</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1、基本工资</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139.10</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139.10</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2、津贴补贴</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150.28</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150.28</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30102</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1）工作津贴</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48.23</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48.23</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30102</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2）生活补贴</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72.35</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72.35</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30102</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3）（特殊）岗位津贴（补贴）</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30102</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4）在职人员取暖补贴</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21.64</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21.64</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30102</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5）在职人员物业服务补贴</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7.66</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7.66</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6）规范津补贴后仍继续保留的补贴</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30102</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回族补贴</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30102</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职工劳模荣誉津贴</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7）上述项目之外的津贴补贴</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0.40</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0.40</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30102</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增发津补贴</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30102</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女职工卫生费</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0.40</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0.40</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30103</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3、奖金</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11.59</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11.59</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4、社会保障缴费</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115.16</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115.16</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30108</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1）机关事业单位基本养老保险缴费</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43.40</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43.40</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30109</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2）职业年金缴费</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30110</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3）职工基本医疗保险缴费</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18.99</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18.99</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30111</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4）公务员医疗补助缴费</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50.73</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50.73</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30112</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5）事业单位失业保险</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30112</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6）行政事业单位工伤保险</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1.36</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1.36</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30112</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7）职工生育保险费</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0.68</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0.68</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30113</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5、住房公积金</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32.55</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32.55</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6、绩效工资</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30107</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1）基础性绩效工资</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30107</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2）奖励性绩效工资</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30107</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3）事业单位上年度12月份基本工资</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7、其他工资福利支出</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30199</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人事代理人员工资</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30199</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人事代理人员社保缴费和住房公积金</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30199</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其他编外人员工资</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30199</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其他编外人员社保缴费和住房公积金</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30199</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病假两个月以上期间的人员工资</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30199</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教师超工作量津贴</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30199</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各种加班工资</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30199</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预留人员经费</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二、对个人和家庭的补助</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133.77</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133.77</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1、离休费</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71.68</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71.68</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30301</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1）离休人员取暖补贴</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12.97</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12.97</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30301</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2）离休人员物业服务补贴</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4.52</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4.52</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30301</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3）其他离休费</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54.19</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54.19</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2、退休费</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56.97</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56.97</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30302</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1）退休人员取暖补贴</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40.35</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40.35</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30302</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2）退休人员物业服务补贴</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12.68</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12.68</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30302</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3）其他退休费</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3.94</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3.94</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30304</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3、抚恤金</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30305</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4、生活补助</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4.99</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4.99</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30307</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5、医疗费补助</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30308</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6、助学金</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7、奖励金</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0.13</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0.13</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30309</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1）独生子女父母奖励</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0.13</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0.13</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30309</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2）其他奖励金</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30399</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8、其他对个人和家庭的补助支出</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正常公用经费</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105.74</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105.74</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一、定额安排公用经费</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62.39</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62.39</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30201</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1、办公费</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2.42</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2.42</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2、邮电费</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19.44</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19.44</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30207</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1）单位邮电费</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2.33</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2.33</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30207</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2）通讯费补贴</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17.11</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17.11</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30211</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3、差旅费</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4.74</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4.74</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30209</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4、物业管理费</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1.65</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1.65</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30213</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5、维修（护）费</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0.95</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0.95</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30231</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6、公务用车运行维护费</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9.02</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9.02</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30239</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7、公务交通补贴</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23.84</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23.84</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30299</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8、其他商品和服务支出</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0.33</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0.33</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二、按规定比例提取安排公用经费</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25.25</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25.25</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30216</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1、培训费</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2.60</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2.60</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30217</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2、公务接待费</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0.58</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0.58</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30228</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3、工会经费</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3.12</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3.12</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30229</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4、福利费</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3.48</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3.48</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5、其他</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15.47</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15.47</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30299</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1）离休人员福利费</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1.83</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1.83</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30299</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2）退休人员福利费</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4.94</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4.94</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30299</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3）离休干部公用经费</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1.90</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1.90</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30299</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4）离休干部特需费</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1.90</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1.90</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30299</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5）退休干部公用经费</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2.94</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2.94</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30299</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6）退休干部特需费</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1.96</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1.96</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三、非定额安排公用经费</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18.10</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18.10</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30205</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1、水费</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0.20</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0.20</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30206</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2、电费</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10.90</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10.90</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30208</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3、取暖费</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7.00</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7.00</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基本支出总计</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688.19</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688.19</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bl>
    <w:p/>
    <w:p>
      <w:pPr>
        <w:jc w:val="left"/>
        <w:rPr>
          <w:rFonts w:ascii="仿宋" w:hAnsi="仿宋" w:eastAsia="仿宋"/>
          <w:color w:val="000000"/>
          <w:sz w:val="28"/>
        </w:rPr>
        <w:sectPr>
          <w:pgSz w:w="16838" w:h="11906" w:orient="landscape"/>
          <w:pgMar w:top="1800" w:right="1440" w:bottom="1800" w:left="1440" w:header="851" w:footer="992" w:gutter="0"/>
          <w:cols w:space="425" w:num="1"/>
          <w:docGrid w:type="lines" w:linePitch="312" w:charSpace="0"/>
        </w:sectPr>
      </w:pPr>
    </w:p>
    <w:p>
      <w:pPr>
        <w:pStyle w:val="8"/>
        <w:rPr>
          <w:rFonts w:hint="eastAsia"/>
        </w:rPr>
      </w:pPr>
      <w:bookmarkStart w:id="3" w:name="_Toc383873146"/>
      <w:bookmarkStart w:id="4" w:name="_Toc91779125"/>
      <w:bookmarkStart w:id="5" w:name="_Toc503262869"/>
      <w:r>
        <w:rPr>
          <w:rFonts w:hint="eastAsia"/>
        </w:rPr>
        <w:t>部门项目支出</w:t>
      </w:r>
      <w:bookmarkEnd w:id="3"/>
      <w:r>
        <w:rPr>
          <w:rFonts w:hint="eastAsia"/>
        </w:rPr>
        <w:t>预算</w:t>
      </w:r>
      <w:bookmarkEnd w:id="4"/>
      <w:bookmarkEnd w:id="5"/>
      <w:r>
        <w:rPr>
          <w:rFonts w:hint="eastAsia"/>
        </w:rPr>
        <w:t xml:space="preserve">                        </w:t>
      </w:r>
      <w:r>
        <w:rPr>
          <w:sz w:val="24"/>
        </w:rPr>
        <w:t xml:space="preserve">      </w:t>
      </w:r>
    </w:p>
    <w:tbl>
      <w:tblPr>
        <w:tblStyle w:val="9"/>
        <w:tblW w:w="14184" w:type="dxa"/>
        <w:tblInd w:w="93" w:type="dxa"/>
        <w:tblLayout w:type="autofit"/>
        <w:tblCellMar>
          <w:top w:w="0" w:type="dxa"/>
          <w:left w:w="108" w:type="dxa"/>
          <w:bottom w:w="0" w:type="dxa"/>
          <w:right w:w="108" w:type="dxa"/>
        </w:tblCellMar>
      </w:tblPr>
      <w:tblGrid>
        <w:gridCol w:w="1216"/>
        <w:gridCol w:w="1216"/>
        <w:gridCol w:w="1216"/>
        <w:gridCol w:w="1216"/>
        <w:gridCol w:w="1216"/>
        <w:gridCol w:w="1216"/>
        <w:gridCol w:w="1216"/>
        <w:gridCol w:w="1216"/>
        <w:gridCol w:w="1216"/>
        <w:gridCol w:w="1080"/>
        <w:gridCol w:w="1080"/>
        <w:gridCol w:w="1080"/>
      </w:tblGrid>
      <w:tr>
        <w:tblPrEx>
          <w:tblCellMar>
            <w:top w:w="0" w:type="dxa"/>
            <w:left w:w="108" w:type="dxa"/>
            <w:bottom w:w="0" w:type="dxa"/>
            <w:right w:w="108" w:type="dxa"/>
          </w:tblCellMar>
        </w:tblPrEx>
        <w:trPr>
          <w:cantSplit/>
          <w:trHeight w:val="270" w:hRule="atLeast"/>
          <w:tblHeader/>
        </w:trPr>
        <w:tc>
          <w:tcPr>
            <w:tcW w:w="10944" w:type="dxa"/>
            <w:gridSpan w:val="9"/>
            <w:tcBorders>
              <w:top w:val="nil"/>
              <w:left w:val="nil"/>
              <w:bottom w:val="single" w:color="auto" w:sz="4" w:space="0"/>
              <w:right w:val="nil"/>
            </w:tcBorders>
            <w:shd w:val="clear" w:color="auto" w:fill="auto"/>
            <w:noWrap/>
            <w:vAlign w:val="bottom"/>
          </w:tcPr>
          <w:p>
            <w:pPr>
              <w:widowControl/>
              <w:jc w:val="left"/>
              <w:rPr>
                <w:rFonts w:ascii="宋体" w:hAnsi="宋体" w:cs="宋体"/>
                <w:color w:val="000000"/>
                <w:kern w:val="0"/>
                <w:sz w:val="28"/>
                <w:szCs w:val="28"/>
              </w:rPr>
            </w:pPr>
            <w:r>
              <w:rPr>
                <w:rFonts w:ascii="宋体" w:hAnsi="宋体" w:cs="宋体"/>
                <w:color w:val="000000"/>
                <w:kern w:val="0"/>
                <w:sz w:val="28"/>
                <w:szCs w:val="28"/>
              </w:rPr>
              <w:t>620唐山市供销合作总社</w:t>
            </w:r>
          </w:p>
        </w:tc>
        <w:tc>
          <w:tcPr>
            <w:tcW w:w="3240" w:type="dxa"/>
            <w:gridSpan w:val="3"/>
            <w:tcBorders>
              <w:top w:val="nil"/>
              <w:left w:val="nil"/>
              <w:bottom w:val="single" w:color="auto" w:sz="4" w:space="0"/>
              <w:right w:val="nil"/>
            </w:tcBorders>
            <w:shd w:val="clear" w:color="auto" w:fill="auto"/>
            <w:noWrap/>
            <w:vAlign w:val="bottom"/>
          </w:tcPr>
          <w:p>
            <w:pPr>
              <w:widowControl/>
              <w:jc w:val="right"/>
              <w:rPr>
                <w:rFonts w:ascii="宋体" w:hAnsi="宋体" w:cs="宋体"/>
                <w:color w:val="000000"/>
                <w:kern w:val="0"/>
                <w:sz w:val="28"/>
                <w:szCs w:val="28"/>
              </w:rPr>
            </w:pPr>
            <w:r>
              <w:rPr>
                <w:rFonts w:hint="eastAsia" w:ascii="宋体" w:hAnsi="宋体" w:cs="宋体"/>
                <w:color w:val="000000"/>
                <w:kern w:val="0"/>
                <w:sz w:val="28"/>
                <w:szCs w:val="28"/>
              </w:rPr>
              <w:t>单位：万元</w:t>
            </w:r>
          </w:p>
        </w:tc>
      </w:tr>
      <w:tr>
        <w:tblPrEx>
          <w:tblCellMar>
            <w:top w:w="0" w:type="dxa"/>
            <w:left w:w="108" w:type="dxa"/>
            <w:bottom w:w="0" w:type="dxa"/>
            <w:right w:w="108" w:type="dxa"/>
          </w:tblCellMar>
        </w:tblPrEx>
        <w:trPr>
          <w:cantSplit/>
          <w:trHeight w:val="270" w:hRule="atLeast"/>
          <w:tblHeader/>
        </w:trPr>
        <w:tc>
          <w:tcPr>
            <w:tcW w:w="121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项目名称</w:t>
            </w:r>
          </w:p>
        </w:tc>
        <w:tc>
          <w:tcPr>
            <w:tcW w:w="121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项目承担单位</w:t>
            </w:r>
          </w:p>
        </w:tc>
        <w:tc>
          <w:tcPr>
            <w:tcW w:w="121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功能分类科目编码</w:t>
            </w:r>
          </w:p>
        </w:tc>
        <w:tc>
          <w:tcPr>
            <w:tcW w:w="2432"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项目类型</w:t>
            </w:r>
          </w:p>
        </w:tc>
        <w:tc>
          <w:tcPr>
            <w:tcW w:w="121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项目级次</w:t>
            </w:r>
          </w:p>
        </w:tc>
        <w:tc>
          <w:tcPr>
            <w:tcW w:w="6888"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经 费 来 源</w:t>
            </w:r>
          </w:p>
        </w:tc>
      </w:tr>
      <w:tr>
        <w:tblPrEx>
          <w:tblCellMar>
            <w:top w:w="0" w:type="dxa"/>
            <w:left w:w="108" w:type="dxa"/>
            <w:bottom w:w="0" w:type="dxa"/>
            <w:right w:w="108" w:type="dxa"/>
          </w:tblCellMar>
        </w:tblPrEx>
        <w:trPr>
          <w:cantSplit/>
          <w:trHeight w:val="312" w:hRule="atLeast"/>
          <w:tblHeader/>
        </w:trPr>
        <w:tc>
          <w:tcPr>
            <w:tcW w:w="121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p>
        </w:tc>
        <w:tc>
          <w:tcPr>
            <w:tcW w:w="121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p>
        </w:tc>
        <w:tc>
          <w:tcPr>
            <w:tcW w:w="121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p>
        </w:tc>
        <w:tc>
          <w:tcPr>
            <w:tcW w:w="121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大类</w:t>
            </w:r>
          </w:p>
        </w:tc>
        <w:tc>
          <w:tcPr>
            <w:tcW w:w="121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小类</w:t>
            </w:r>
          </w:p>
        </w:tc>
        <w:tc>
          <w:tcPr>
            <w:tcW w:w="121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p>
        </w:tc>
        <w:tc>
          <w:tcPr>
            <w:tcW w:w="121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合计</w:t>
            </w:r>
          </w:p>
        </w:tc>
        <w:tc>
          <w:tcPr>
            <w:tcW w:w="121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一般公共预算拨款安排</w:t>
            </w:r>
          </w:p>
        </w:tc>
        <w:tc>
          <w:tcPr>
            <w:tcW w:w="121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政府性基金预算拨款安排</w:t>
            </w:r>
          </w:p>
        </w:tc>
        <w:tc>
          <w:tcPr>
            <w:tcW w:w="108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国有资本经营预算拨款安排</w:t>
            </w:r>
          </w:p>
        </w:tc>
        <w:tc>
          <w:tcPr>
            <w:tcW w:w="108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其他来源收入安排</w:t>
            </w:r>
          </w:p>
        </w:tc>
        <w:tc>
          <w:tcPr>
            <w:tcW w:w="108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高中及其以上教育收费</w:t>
            </w:r>
          </w:p>
        </w:tc>
      </w:tr>
      <w:tr>
        <w:tblPrEx>
          <w:tblCellMar>
            <w:top w:w="0" w:type="dxa"/>
            <w:left w:w="108" w:type="dxa"/>
            <w:bottom w:w="0" w:type="dxa"/>
            <w:right w:w="108" w:type="dxa"/>
          </w:tblCellMar>
        </w:tblPrEx>
        <w:trPr>
          <w:cantSplit/>
          <w:trHeight w:val="312" w:hRule="atLeast"/>
          <w:tblHeader/>
        </w:trPr>
        <w:tc>
          <w:tcPr>
            <w:tcW w:w="12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tblHeader/>
        </w:trPr>
        <w:tc>
          <w:tcPr>
            <w:tcW w:w="121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21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21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21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21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21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21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1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1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0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0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0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trPr>
        <w:tc>
          <w:tcPr>
            <w:tcW w:w="12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合计</w:t>
            </w:r>
          </w:p>
        </w:tc>
        <w:tc>
          <w:tcPr>
            <w:tcW w:w="12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2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2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2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2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2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50.00</w:t>
            </w:r>
          </w:p>
        </w:tc>
        <w:tc>
          <w:tcPr>
            <w:tcW w:w="12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50.00</w:t>
            </w:r>
          </w:p>
        </w:tc>
        <w:tc>
          <w:tcPr>
            <w:tcW w:w="12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trPr>
        <w:tc>
          <w:tcPr>
            <w:tcW w:w="12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服务三农事务管理</w:t>
            </w:r>
          </w:p>
        </w:tc>
        <w:tc>
          <w:tcPr>
            <w:tcW w:w="12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2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2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2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2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2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50.00</w:t>
            </w:r>
          </w:p>
        </w:tc>
        <w:tc>
          <w:tcPr>
            <w:tcW w:w="12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50.00</w:t>
            </w:r>
          </w:p>
        </w:tc>
        <w:tc>
          <w:tcPr>
            <w:tcW w:w="12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trPr>
        <w:tc>
          <w:tcPr>
            <w:tcW w:w="12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组织体系建设</w:t>
            </w:r>
          </w:p>
        </w:tc>
        <w:tc>
          <w:tcPr>
            <w:tcW w:w="12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2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2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2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2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2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50.00</w:t>
            </w:r>
          </w:p>
        </w:tc>
        <w:tc>
          <w:tcPr>
            <w:tcW w:w="12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50.00</w:t>
            </w:r>
          </w:p>
        </w:tc>
        <w:tc>
          <w:tcPr>
            <w:tcW w:w="12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trPr>
        <w:tc>
          <w:tcPr>
            <w:tcW w:w="12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农村产权流转交易中心运营经费</w:t>
            </w:r>
          </w:p>
        </w:tc>
        <w:tc>
          <w:tcPr>
            <w:tcW w:w="12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唐山市供销合作总社</w:t>
            </w:r>
          </w:p>
        </w:tc>
        <w:tc>
          <w:tcPr>
            <w:tcW w:w="12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2130799</w:t>
            </w:r>
          </w:p>
        </w:tc>
        <w:tc>
          <w:tcPr>
            <w:tcW w:w="12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99-其他项目</w:t>
            </w:r>
          </w:p>
        </w:tc>
        <w:tc>
          <w:tcPr>
            <w:tcW w:w="12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9901 其他</w:t>
            </w:r>
          </w:p>
        </w:tc>
        <w:tc>
          <w:tcPr>
            <w:tcW w:w="12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本级</w:t>
            </w:r>
          </w:p>
        </w:tc>
        <w:tc>
          <w:tcPr>
            <w:tcW w:w="12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50.00</w:t>
            </w:r>
          </w:p>
        </w:tc>
        <w:tc>
          <w:tcPr>
            <w:tcW w:w="12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50.00</w:t>
            </w:r>
          </w:p>
        </w:tc>
        <w:tc>
          <w:tcPr>
            <w:tcW w:w="12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bl>
    <w:p>
      <w:pPr>
        <w:spacing w:line="0" w:lineRule="atLeast"/>
      </w:pPr>
    </w:p>
    <w:p>
      <w:pPr>
        <w:jc w:val="left"/>
        <w:rPr>
          <w:rFonts w:ascii="仿宋" w:hAnsi="仿宋" w:eastAsia="仿宋"/>
          <w:color w:val="000000"/>
          <w:sz w:val="28"/>
        </w:rPr>
        <w:sectPr>
          <w:headerReference r:id="rId11" w:type="default"/>
          <w:pgSz w:w="16838" w:h="11906" w:orient="landscape"/>
          <w:pgMar w:top="1800" w:right="1440" w:bottom="1800" w:left="1440" w:header="851" w:footer="992" w:gutter="0"/>
          <w:cols w:space="425" w:num="1"/>
          <w:docGrid w:type="lines" w:linePitch="312" w:charSpace="0"/>
        </w:sectPr>
      </w:pPr>
    </w:p>
    <w:p>
      <w:pPr>
        <w:pStyle w:val="8"/>
        <w:rPr>
          <w:rFonts w:hint="eastAsia"/>
        </w:rPr>
      </w:pPr>
      <w:bookmarkStart w:id="6" w:name="_Toc91779126"/>
      <w:r>
        <w:rPr>
          <w:rFonts w:hint="eastAsia"/>
        </w:rPr>
        <w:t>部门“三公”及会议培训经费预算</w:t>
      </w:r>
      <w:bookmarkEnd w:id="6"/>
    </w:p>
    <w:tbl>
      <w:tblPr>
        <w:tblStyle w:val="9"/>
        <w:tblW w:w="14091" w:type="dxa"/>
        <w:tblInd w:w="93" w:type="dxa"/>
        <w:tblLayout w:type="autofit"/>
        <w:tblCellMar>
          <w:top w:w="0" w:type="dxa"/>
          <w:left w:w="108" w:type="dxa"/>
          <w:bottom w:w="0" w:type="dxa"/>
          <w:right w:w="108" w:type="dxa"/>
        </w:tblCellMar>
      </w:tblPr>
      <w:tblGrid>
        <w:gridCol w:w="4977"/>
        <w:gridCol w:w="1842"/>
        <w:gridCol w:w="1134"/>
        <w:gridCol w:w="1560"/>
        <w:gridCol w:w="552"/>
        <w:gridCol w:w="1007"/>
        <w:gridCol w:w="1276"/>
        <w:gridCol w:w="1743"/>
      </w:tblGrid>
      <w:tr>
        <w:tblPrEx>
          <w:tblCellMar>
            <w:top w:w="0" w:type="dxa"/>
            <w:left w:w="108" w:type="dxa"/>
            <w:bottom w:w="0" w:type="dxa"/>
            <w:right w:w="108" w:type="dxa"/>
          </w:tblCellMar>
        </w:tblPrEx>
        <w:trPr>
          <w:cantSplit/>
          <w:trHeight w:val="321" w:hRule="atLeast"/>
          <w:tblHeader/>
        </w:trPr>
        <w:tc>
          <w:tcPr>
            <w:tcW w:w="10065" w:type="dxa"/>
            <w:gridSpan w:val="5"/>
            <w:tcBorders>
              <w:top w:val="nil"/>
              <w:left w:val="nil"/>
              <w:bottom w:val="single" w:color="auto" w:sz="4" w:space="0"/>
              <w:right w:val="nil"/>
            </w:tcBorders>
            <w:shd w:val="clear" w:color="auto" w:fill="auto"/>
            <w:noWrap/>
            <w:vAlign w:val="bottom"/>
          </w:tcPr>
          <w:p>
            <w:pPr>
              <w:widowControl/>
              <w:jc w:val="left"/>
              <w:rPr>
                <w:rFonts w:ascii="宋体" w:hAnsi="宋体" w:cs="宋体"/>
                <w:color w:val="000000"/>
                <w:kern w:val="0"/>
                <w:sz w:val="28"/>
                <w:szCs w:val="28"/>
              </w:rPr>
            </w:pPr>
            <w:r>
              <w:rPr>
                <w:rFonts w:ascii="宋体" w:hAnsi="宋体" w:cs="宋体"/>
                <w:color w:val="000000"/>
                <w:kern w:val="0"/>
                <w:sz w:val="28"/>
                <w:szCs w:val="28"/>
              </w:rPr>
              <w:t>620唐山市供销合作总社</w:t>
            </w:r>
          </w:p>
        </w:tc>
        <w:tc>
          <w:tcPr>
            <w:tcW w:w="4026" w:type="dxa"/>
            <w:gridSpan w:val="3"/>
            <w:tcBorders>
              <w:top w:val="nil"/>
              <w:left w:val="nil"/>
              <w:bottom w:val="single" w:color="auto" w:sz="4" w:space="0"/>
              <w:right w:val="nil"/>
            </w:tcBorders>
            <w:shd w:val="clear" w:color="auto" w:fill="auto"/>
            <w:noWrap/>
            <w:vAlign w:val="bottom"/>
          </w:tcPr>
          <w:p>
            <w:pPr>
              <w:widowControl/>
              <w:jc w:val="right"/>
              <w:rPr>
                <w:rFonts w:ascii="宋体" w:hAnsi="宋体" w:cs="宋体"/>
                <w:color w:val="000000"/>
                <w:kern w:val="0"/>
                <w:sz w:val="28"/>
                <w:szCs w:val="28"/>
              </w:rPr>
            </w:pPr>
            <w:r>
              <w:rPr>
                <w:rFonts w:hint="eastAsia" w:ascii="宋体" w:hAnsi="宋体" w:cs="宋体"/>
                <w:color w:val="000000"/>
                <w:kern w:val="0"/>
                <w:sz w:val="28"/>
                <w:szCs w:val="28"/>
              </w:rPr>
              <w:t>单位：万元</w:t>
            </w:r>
          </w:p>
        </w:tc>
      </w:tr>
      <w:tr>
        <w:tblPrEx>
          <w:tblCellMar>
            <w:top w:w="0" w:type="dxa"/>
            <w:left w:w="108" w:type="dxa"/>
            <w:bottom w:w="0" w:type="dxa"/>
            <w:right w:w="108" w:type="dxa"/>
          </w:tblCellMar>
        </w:tblPrEx>
        <w:trPr>
          <w:cantSplit/>
          <w:trHeight w:val="321" w:hRule="atLeast"/>
          <w:tblHeader/>
        </w:trPr>
        <w:tc>
          <w:tcPr>
            <w:tcW w:w="497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黑体" w:hAnsi="黑体" w:eastAsia="黑体" w:cs="宋体"/>
                <w:b/>
                <w:color w:val="000000"/>
                <w:kern w:val="0"/>
                <w:szCs w:val="21"/>
              </w:rPr>
              <w:t>支出内容</w:t>
            </w:r>
          </w:p>
        </w:tc>
        <w:tc>
          <w:tcPr>
            <w:tcW w:w="9114" w:type="dxa"/>
            <w:gridSpan w:val="7"/>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黑体" w:hAnsi="黑体" w:eastAsia="黑体" w:cs="宋体"/>
                <w:b/>
                <w:color w:val="000000"/>
                <w:kern w:val="0"/>
                <w:szCs w:val="21"/>
              </w:rPr>
              <w:t>经 费 来 源</w:t>
            </w:r>
          </w:p>
        </w:tc>
      </w:tr>
      <w:tr>
        <w:tblPrEx>
          <w:tblCellMar>
            <w:top w:w="0" w:type="dxa"/>
            <w:left w:w="108" w:type="dxa"/>
            <w:bottom w:w="0" w:type="dxa"/>
            <w:right w:w="108" w:type="dxa"/>
          </w:tblCellMar>
        </w:tblPrEx>
        <w:trPr>
          <w:cantSplit/>
          <w:trHeight w:val="371" w:hRule="atLeast"/>
          <w:tblHeader/>
        </w:trPr>
        <w:tc>
          <w:tcPr>
            <w:tcW w:w="4977"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84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黑体" w:hAnsi="黑体" w:eastAsia="黑体" w:cs="宋体"/>
                <w:b/>
                <w:color w:val="000000"/>
                <w:kern w:val="0"/>
                <w:szCs w:val="21"/>
              </w:rPr>
              <w:t>合计</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黑体" w:hAnsi="黑体" w:eastAsia="黑体" w:cs="宋体"/>
                <w:b/>
                <w:color w:val="000000"/>
                <w:kern w:val="0"/>
                <w:szCs w:val="21"/>
              </w:rPr>
              <w:t>一般公共预算拨款安排</w:t>
            </w:r>
          </w:p>
        </w:tc>
        <w:tc>
          <w:tcPr>
            <w:tcW w:w="156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黑体" w:hAnsi="黑体" w:eastAsia="黑体" w:cs="宋体"/>
                <w:b/>
                <w:color w:val="000000"/>
                <w:kern w:val="0"/>
                <w:szCs w:val="21"/>
              </w:rPr>
              <w:t>政府性基金预算拨款安排</w:t>
            </w:r>
          </w:p>
        </w:tc>
        <w:tc>
          <w:tcPr>
            <w:tcW w:w="1559"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黑体" w:hAnsi="黑体" w:eastAsia="黑体" w:cs="宋体"/>
                <w:b/>
                <w:color w:val="000000"/>
                <w:kern w:val="0"/>
                <w:szCs w:val="21"/>
              </w:rPr>
              <w:t>国有资本经营预算拨款安排</w:t>
            </w:r>
          </w:p>
        </w:tc>
        <w:tc>
          <w:tcPr>
            <w:tcW w:w="127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黑体" w:hAnsi="黑体" w:eastAsia="黑体" w:cs="宋体"/>
                <w:b/>
                <w:color w:val="000000"/>
                <w:kern w:val="0"/>
                <w:szCs w:val="21"/>
              </w:rPr>
              <w:t>其他来源收入安排</w:t>
            </w:r>
          </w:p>
        </w:tc>
        <w:tc>
          <w:tcPr>
            <w:tcW w:w="174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黑体" w:hAnsi="黑体" w:eastAsia="黑体" w:cs="宋体"/>
                <w:b/>
                <w:color w:val="000000"/>
                <w:kern w:val="0"/>
                <w:szCs w:val="21"/>
              </w:rPr>
              <w:t>纳入财政专户高中及其以上教育收费</w:t>
            </w:r>
          </w:p>
        </w:tc>
      </w:tr>
      <w:tr>
        <w:tblPrEx>
          <w:tblCellMar>
            <w:top w:w="0" w:type="dxa"/>
            <w:left w:w="108" w:type="dxa"/>
            <w:bottom w:w="0" w:type="dxa"/>
            <w:right w:w="108" w:type="dxa"/>
          </w:tblCellMar>
        </w:tblPrEx>
        <w:trPr>
          <w:cantSplit/>
          <w:trHeight w:val="371" w:hRule="atLeast"/>
          <w:tblHeader/>
        </w:trPr>
        <w:tc>
          <w:tcPr>
            <w:tcW w:w="497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84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5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55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7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71" w:hRule="atLeast"/>
          <w:tblHeader/>
        </w:trPr>
        <w:tc>
          <w:tcPr>
            <w:tcW w:w="49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8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1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5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559"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7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71" w:hRule="atLeast"/>
        </w:trPr>
        <w:tc>
          <w:tcPr>
            <w:tcW w:w="49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一、“三公”经费小计</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9.60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9.60</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55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7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71" w:hRule="atLeast"/>
        </w:trPr>
        <w:tc>
          <w:tcPr>
            <w:tcW w:w="49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（二）公务用车购置及运维费</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9.02</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9.02</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55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7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71" w:hRule="atLeast"/>
        </w:trPr>
        <w:tc>
          <w:tcPr>
            <w:tcW w:w="49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 xml:space="preserve">      公务用车运行维护费</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9.02</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9.02</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55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7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71" w:hRule="atLeast"/>
        </w:trPr>
        <w:tc>
          <w:tcPr>
            <w:tcW w:w="49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（三）公务接待费</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0.58</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0.58</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55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7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71" w:hRule="atLeast"/>
        </w:trPr>
        <w:tc>
          <w:tcPr>
            <w:tcW w:w="49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二、会议费</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1.82</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1.82</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55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7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71" w:hRule="atLeast"/>
        </w:trPr>
        <w:tc>
          <w:tcPr>
            <w:tcW w:w="49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三、培训费</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2.60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2.60</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55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7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71" w:hRule="atLeast"/>
        </w:trPr>
        <w:tc>
          <w:tcPr>
            <w:tcW w:w="49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 xml:space="preserve">     合计</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14.02</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14.02</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55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7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bl>
    <w:p/>
    <w:p>
      <w:pPr>
        <w:jc w:val="left"/>
        <w:rPr>
          <w:rFonts w:ascii="仿宋" w:hAnsi="仿宋" w:eastAsia="仿宋"/>
          <w:color w:val="000000"/>
          <w:sz w:val="28"/>
        </w:rPr>
        <w:sectPr>
          <w:pgSz w:w="16838" w:h="11906" w:orient="landscape"/>
          <w:pgMar w:top="1800" w:right="1440" w:bottom="1800" w:left="1440" w:header="851" w:footer="992" w:gutter="0"/>
          <w:cols w:space="425" w:num="1"/>
          <w:docGrid w:type="lines" w:linePitch="312" w:charSpace="0"/>
        </w:sectPr>
      </w:pPr>
    </w:p>
    <w:p>
      <w:pPr>
        <w:pStyle w:val="8"/>
        <w:rPr>
          <w:rFonts w:hint="eastAsia" w:ascii="黑体" w:hAnsi="黑体" w:eastAsia="黑体"/>
        </w:rPr>
      </w:pPr>
      <w:bookmarkStart w:id="7" w:name="_Toc91779127"/>
      <w:r>
        <w:rPr>
          <w:rFonts w:hint="eastAsia" w:ascii="黑体" w:hAnsi="黑体" w:eastAsia="黑体"/>
        </w:rPr>
        <w:t>部门政府采购预算支出一览表</w:t>
      </w:r>
      <w:bookmarkEnd w:id="7"/>
    </w:p>
    <w:tbl>
      <w:tblPr>
        <w:tblStyle w:val="9"/>
        <w:tblW w:w="15574" w:type="dxa"/>
        <w:tblInd w:w="-668" w:type="dxa"/>
        <w:tblLayout w:type="autofit"/>
        <w:tblCellMar>
          <w:top w:w="0" w:type="dxa"/>
          <w:left w:w="108" w:type="dxa"/>
          <w:bottom w:w="0" w:type="dxa"/>
          <w:right w:w="108" w:type="dxa"/>
        </w:tblCellMar>
      </w:tblPr>
      <w:tblGrid>
        <w:gridCol w:w="1485"/>
        <w:gridCol w:w="986"/>
        <w:gridCol w:w="2126"/>
        <w:gridCol w:w="1276"/>
        <w:gridCol w:w="986"/>
        <w:gridCol w:w="851"/>
        <w:gridCol w:w="708"/>
        <w:gridCol w:w="567"/>
        <w:gridCol w:w="709"/>
        <w:gridCol w:w="457"/>
        <w:gridCol w:w="988"/>
        <w:gridCol w:w="988"/>
        <w:gridCol w:w="990"/>
        <w:gridCol w:w="909"/>
        <w:gridCol w:w="909"/>
        <w:gridCol w:w="910"/>
      </w:tblGrid>
      <w:tr>
        <w:tblPrEx>
          <w:tblCellMar>
            <w:top w:w="0" w:type="dxa"/>
            <w:left w:w="108" w:type="dxa"/>
            <w:bottom w:w="0" w:type="dxa"/>
            <w:right w:w="108" w:type="dxa"/>
          </w:tblCellMar>
        </w:tblPrEx>
        <w:trPr>
          <w:cantSplit/>
          <w:trHeight w:val="275" w:hRule="atLeast"/>
          <w:tblHeader/>
        </w:trPr>
        <w:tc>
          <w:tcPr>
            <w:tcW w:w="12846" w:type="dxa"/>
            <w:gridSpan w:val="13"/>
            <w:tcBorders>
              <w:top w:val="nil"/>
              <w:left w:val="nil"/>
              <w:bottom w:val="single" w:color="auto" w:sz="4" w:space="0"/>
              <w:right w:val="nil"/>
            </w:tcBorders>
            <w:shd w:val="clear" w:color="auto" w:fill="auto"/>
            <w:noWrap/>
            <w:vAlign w:val="bottom"/>
          </w:tcPr>
          <w:p>
            <w:pPr>
              <w:widowControl/>
              <w:jc w:val="left"/>
              <w:rPr>
                <w:rFonts w:ascii="宋体" w:hAnsi="宋体" w:cs="宋体"/>
                <w:color w:val="000000"/>
                <w:kern w:val="0"/>
                <w:sz w:val="22"/>
              </w:rPr>
            </w:pPr>
            <w:r>
              <w:rPr>
                <w:rFonts w:ascii="宋体" w:hAnsi="宋体" w:cs="宋体"/>
                <w:color w:val="000000"/>
                <w:kern w:val="0"/>
                <w:sz w:val="22"/>
              </w:rPr>
              <w:t>620唐山市供销合作总社</w:t>
            </w:r>
          </w:p>
        </w:tc>
        <w:tc>
          <w:tcPr>
            <w:tcW w:w="2728" w:type="dxa"/>
            <w:gridSpan w:val="3"/>
            <w:tcBorders>
              <w:top w:val="nil"/>
              <w:left w:val="nil"/>
              <w:bottom w:val="single" w:color="auto" w:sz="4" w:space="0"/>
              <w:right w:val="nil"/>
            </w:tcBorders>
            <w:shd w:val="clear" w:color="auto" w:fill="auto"/>
            <w:noWrap/>
            <w:vAlign w:val="bottom"/>
          </w:tcPr>
          <w:p>
            <w:pPr>
              <w:widowControl/>
              <w:jc w:val="right"/>
              <w:rPr>
                <w:rFonts w:ascii="宋体" w:hAnsi="宋体" w:cs="宋体"/>
                <w:color w:val="000000"/>
                <w:kern w:val="0"/>
                <w:sz w:val="22"/>
              </w:rPr>
            </w:pPr>
            <w:r>
              <w:rPr>
                <w:rFonts w:hint="eastAsia" w:ascii="宋体" w:hAnsi="宋体" w:cs="宋体"/>
                <w:color w:val="000000"/>
                <w:kern w:val="0"/>
                <w:sz w:val="22"/>
              </w:rPr>
              <w:t>单位：万元</w:t>
            </w:r>
          </w:p>
        </w:tc>
      </w:tr>
      <w:tr>
        <w:tblPrEx>
          <w:tblCellMar>
            <w:top w:w="0" w:type="dxa"/>
            <w:left w:w="108" w:type="dxa"/>
            <w:bottom w:w="0" w:type="dxa"/>
            <w:right w:w="108" w:type="dxa"/>
          </w:tblCellMar>
        </w:tblPrEx>
        <w:trPr>
          <w:cantSplit/>
          <w:trHeight w:val="275" w:hRule="atLeast"/>
          <w:tblHeader/>
        </w:trPr>
        <w:tc>
          <w:tcPr>
            <w:tcW w:w="148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单位名称</w:t>
            </w:r>
          </w:p>
        </w:tc>
        <w:tc>
          <w:tcPr>
            <w:tcW w:w="4253"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bCs/>
                <w:color w:val="000000"/>
                <w:kern w:val="0"/>
                <w:szCs w:val="21"/>
              </w:rPr>
              <w:t>所属项目</w:t>
            </w:r>
          </w:p>
        </w:tc>
        <w:tc>
          <w:tcPr>
            <w:tcW w:w="85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政府采购目录序号</w:t>
            </w:r>
          </w:p>
        </w:tc>
        <w:tc>
          <w:tcPr>
            <w:tcW w:w="85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采购物品名称</w:t>
            </w:r>
          </w:p>
        </w:tc>
        <w:tc>
          <w:tcPr>
            <w:tcW w:w="70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产品规格</w:t>
            </w:r>
          </w:p>
        </w:tc>
        <w:tc>
          <w:tcPr>
            <w:tcW w:w="56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单位</w:t>
            </w:r>
          </w:p>
        </w:tc>
        <w:tc>
          <w:tcPr>
            <w:tcW w:w="70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单价(元)</w:t>
            </w:r>
          </w:p>
        </w:tc>
        <w:tc>
          <w:tcPr>
            <w:tcW w:w="45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数量</w:t>
            </w:r>
          </w:p>
        </w:tc>
        <w:tc>
          <w:tcPr>
            <w:tcW w:w="5694" w:type="dxa"/>
            <w:gridSpan w:val="6"/>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经 费 来 源</w:t>
            </w:r>
          </w:p>
        </w:tc>
      </w:tr>
      <w:tr>
        <w:tblPrEx>
          <w:tblCellMar>
            <w:top w:w="0" w:type="dxa"/>
            <w:left w:w="108" w:type="dxa"/>
            <w:bottom w:w="0" w:type="dxa"/>
            <w:right w:w="108" w:type="dxa"/>
          </w:tblCellMar>
        </w:tblPrEx>
        <w:trPr>
          <w:cantSplit/>
          <w:trHeight w:val="330" w:hRule="atLeast"/>
          <w:tblHeader/>
        </w:trPr>
        <w:tc>
          <w:tcPr>
            <w:tcW w:w="148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p>
        </w:tc>
        <w:tc>
          <w:tcPr>
            <w:tcW w:w="85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功能分类科目编码</w:t>
            </w:r>
          </w:p>
        </w:tc>
        <w:tc>
          <w:tcPr>
            <w:tcW w:w="212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项目名称</w:t>
            </w:r>
          </w:p>
        </w:tc>
        <w:tc>
          <w:tcPr>
            <w:tcW w:w="127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项目类型</w:t>
            </w:r>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p>
        </w:tc>
        <w:tc>
          <w:tcPr>
            <w:tcW w:w="457"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p>
        </w:tc>
        <w:tc>
          <w:tcPr>
            <w:tcW w:w="98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合计</w:t>
            </w:r>
          </w:p>
        </w:tc>
        <w:tc>
          <w:tcPr>
            <w:tcW w:w="98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一般公共预算拨款安排</w:t>
            </w:r>
          </w:p>
        </w:tc>
        <w:tc>
          <w:tcPr>
            <w:tcW w:w="99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国有资本经营预算拨款安排</w:t>
            </w:r>
          </w:p>
        </w:tc>
        <w:tc>
          <w:tcPr>
            <w:tcW w:w="90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国有资本经营预算拨款安排</w:t>
            </w:r>
          </w:p>
        </w:tc>
        <w:tc>
          <w:tcPr>
            <w:tcW w:w="90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其他来源收入安排</w:t>
            </w:r>
          </w:p>
        </w:tc>
        <w:tc>
          <w:tcPr>
            <w:tcW w:w="91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bCs/>
                <w:color w:val="000000"/>
                <w:kern w:val="0"/>
                <w:szCs w:val="21"/>
              </w:rPr>
              <w:t>高中及其以上教育收费</w:t>
            </w:r>
          </w:p>
        </w:tc>
      </w:tr>
      <w:tr>
        <w:tblPrEx>
          <w:tblCellMar>
            <w:top w:w="0" w:type="dxa"/>
            <w:left w:w="108" w:type="dxa"/>
            <w:bottom w:w="0" w:type="dxa"/>
            <w:right w:w="108" w:type="dxa"/>
          </w:tblCellMar>
        </w:tblPrEx>
        <w:trPr>
          <w:cantSplit/>
          <w:trHeight w:val="330" w:hRule="atLeast"/>
          <w:tblHeader/>
        </w:trPr>
        <w:tc>
          <w:tcPr>
            <w:tcW w:w="14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21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45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9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9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9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9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9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9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30" w:hRule="atLeast"/>
          <w:tblHeader/>
        </w:trPr>
        <w:tc>
          <w:tcPr>
            <w:tcW w:w="14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212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2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8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70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5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7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45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9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9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99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9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9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9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r>
      <w:tr>
        <w:tblPrEx>
          <w:tblCellMar>
            <w:top w:w="0" w:type="dxa"/>
            <w:left w:w="108" w:type="dxa"/>
            <w:bottom w:w="0" w:type="dxa"/>
            <w:right w:w="108" w:type="dxa"/>
          </w:tblCellMar>
        </w:tblPrEx>
        <w:trPr>
          <w:cantSplit/>
          <w:trHeight w:val="330" w:hRule="atLeast"/>
        </w:trPr>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 xml:space="preserve">    合计</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4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1.91</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1.91</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9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9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9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r>
      <w:tr>
        <w:tblPrEx>
          <w:tblCellMar>
            <w:top w:w="0" w:type="dxa"/>
            <w:left w:w="108" w:type="dxa"/>
            <w:bottom w:w="0" w:type="dxa"/>
            <w:right w:w="108" w:type="dxa"/>
          </w:tblCellMar>
        </w:tblPrEx>
        <w:trPr>
          <w:cantSplit/>
          <w:trHeight w:val="330" w:hRule="atLeast"/>
        </w:trPr>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唐山市供销合作总社</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2160201</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购置办公家具</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专项公用</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A060503</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金属质柜类</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按标准采购</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套</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1600</w:t>
            </w:r>
          </w:p>
        </w:tc>
        <w:tc>
          <w:tcPr>
            <w:tcW w:w="4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0.16</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0.16</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9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9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9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r>
      <w:tr>
        <w:tblPrEx>
          <w:tblCellMar>
            <w:top w:w="0" w:type="dxa"/>
            <w:left w:w="108" w:type="dxa"/>
            <w:bottom w:w="0" w:type="dxa"/>
            <w:right w:w="108" w:type="dxa"/>
          </w:tblCellMar>
        </w:tblPrEx>
        <w:trPr>
          <w:cantSplit/>
          <w:trHeight w:val="330" w:hRule="atLeast"/>
        </w:trPr>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唐山市供销合作总社</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2160201</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购置办公家具</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专项公用</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A060205</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木制台、桌类</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按标准采购</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件</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1180</w:t>
            </w:r>
          </w:p>
        </w:tc>
        <w:tc>
          <w:tcPr>
            <w:tcW w:w="4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5</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0.59</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0.59</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9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9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9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r>
      <w:tr>
        <w:tblPrEx>
          <w:tblCellMar>
            <w:top w:w="0" w:type="dxa"/>
            <w:left w:w="108" w:type="dxa"/>
            <w:bottom w:w="0" w:type="dxa"/>
            <w:right w:w="108" w:type="dxa"/>
          </w:tblCellMar>
        </w:tblPrEx>
        <w:trPr>
          <w:cantSplit/>
          <w:trHeight w:val="330" w:hRule="atLeast"/>
        </w:trPr>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唐山市供销合作总社</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2160201</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购置办公家具</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专项公用</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A060302</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木骨架为主的椅凳类</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按标准采购</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件</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600</w:t>
            </w:r>
          </w:p>
        </w:tc>
        <w:tc>
          <w:tcPr>
            <w:tcW w:w="4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5</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0.30</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0.30</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9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9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9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r>
      <w:tr>
        <w:tblPrEx>
          <w:tblCellMar>
            <w:top w:w="0" w:type="dxa"/>
            <w:left w:w="108" w:type="dxa"/>
            <w:bottom w:w="0" w:type="dxa"/>
            <w:right w:w="108" w:type="dxa"/>
          </w:tblCellMar>
        </w:tblPrEx>
        <w:trPr>
          <w:cantSplit/>
          <w:trHeight w:val="330" w:hRule="atLeast"/>
        </w:trPr>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唐山市供销合作总社</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2160201</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购置办公家具</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专项公用</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A060503</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金属质柜类</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按标准采购</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套</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1160</w:t>
            </w:r>
          </w:p>
        </w:tc>
        <w:tc>
          <w:tcPr>
            <w:tcW w:w="4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5</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0.58</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0.58</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9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9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9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r>
      <w:tr>
        <w:tblPrEx>
          <w:tblCellMar>
            <w:top w:w="0" w:type="dxa"/>
            <w:left w:w="108" w:type="dxa"/>
            <w:bottom w:w="0" w:type="dxa"/>
            <w:right w:w="108" w:type="dxa"/>
          </w:tblCellMar>
        </w:tblPrEx>
        <w:trPr>
          <w:cantSplit/>
          <w:trHeight w:val="330" w:hRule="atLeast"/>
        </w:trPr>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唐山市供销合作总社</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2160201</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购置办公家具</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专项公用</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A020299</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其他办公设备</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按标准采购</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台</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800</w:t>
            </w:r>
          </w:p>
        </w:tc>
        <w:tc>
          <w:tcPr>
            <w:tcW w:w="4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0.08</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0.08</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9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9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9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r>
      <w:tr>
        <w:tblPrEx>
          <w:tblCellMar>
            <w:top w:w="0" w:type="dxa"/>
            <w:left w:w="108" w:type="dxa"/>
            <w:bottom w:w="0" w:type="dxa"/>
            <w:right w:w="108" w:type="dxa"/>
          </w:tblCellMar>
        </w:tblPrEx>
        <w:trPr>
          <w:cantSplit/>
          <w:trHeight w:val="330" w:hRule="atLeast"/>
        </w:trPr>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唐山市供销合作总社</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2160201</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购置办公家具</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专项公用</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A060402</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木骨架沙发类</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按标准采购</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套</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2000</w:t>
            </w:r>
          </w:p>
        </w:tc>
        <w:tc>
          <w:tcPr>
            <w:tcW w:w="4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0.20</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0.20</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9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9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9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r>
    </w:tbl>
    <w:p/>
    <w:p>
      <w:pPr>
        <w:jc w:val="left"/>
        <w:rPr>
          <w:rFonts w:ascii="仿宋" w:hAnsi="仿宋" w:eastAsia="仿宋"/>
          <w:color w:val="000000"/>
          <w:sz w:val="28"/>
        </w:rPr>
        <w:sectPr>
          <w:pgSz w:w="16838" w:h="11906" w:orient="landscape"/>
          <w:pgMar w:top="1800" w:right="1440" w:bottom="1800" w:left="1440" w:header="851" w:footer="992" w:gutter="0"/>
          <w:cols w:space="425" w:num="1"/>
          <w:docGrid w:type="lines" w:linePitch="312" w:charSpace="0"/>
        </w:sectPr>
      </w:pPr>
    </w:p>
    <w:p>
      <w:pPr>
        <w:pStyle w:val="8"/>
        <w:rPr>
          <w:rFonts w:hint="eastAsia"/>
          <w:sz w:val="28"/>
        </w:rPr>
      </w:pPr>
      <w:bookmarkStart w:id="8" w:name="_Toc383873143"/>
      <w:bookmarkStart w:id="9" w:name="_Toc91779128"/>
      <w:r>
        <w:rPr>
          <w:rFonts w:hint="eastAsia"/>
        </w:rPr>
        <w:t>部门基本情况</w:t>
      </w:r>
      <w:bookmarkEnd w:id="8"/>
      <w:bookmarkEnd w:id="9"/>
      <w:r>
        <w:rPr>
          <w:rFonts w:hint="eastAsia"/>
          <w:sz w:val="28"/>
        </w:rPr>
        <w:t xml:space="preserve">  </w:t>
      </w:r>
    </w:p>
    <w:tbl>
      <w:tblPr>
        <w:tblStyle w:val="9"/>
        <w:tblW w:w="14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27"/>
        <w:gridCol w:w="1135"/>
        <w:gridCol w:w="1134"/>
        <w:gridCol w:w="1843"/>
        <w:gridCol w:w="850"/>
        <w:gridCol w:w="850"/>
        <w:gridCol w:w="850"/>
        <w:gridCol w:w="850"/>
        <w:gridCol w:w="769"/>
        <w:gridCol w:w="81"/>
        <w:gridCol w:w="995"/>
        <w:gridCol w:w="853"/>
        <w:gridCol w:w="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jc w:val="center"/>
        </w:trPr>
        <w:tc>
          <w:tcPr>
            <w:tcW w:w="11508" w:type="dxa"/>
            <w:gridSpan w:val="9"/>
            <w:tcBorders>
              <w:top w:val="nil"/>
              <w:left w:val="nil"/>
              <w:right w:val="nil"/>
            </w:tcBorders>
            <w:shd w:val="clear" w:color="auto" w:fill="auto"/>
            <w:vAlign w:val="center"/>
          </w:tcPr>
          <w:p>
            <w:pPr>
              <w:widowControl/>
              <w:jc w:val="left"/>
              <w:rPr>
                <w:rFonts w:hint="eastAsia" w:ascii="黑体" w:hAnsi="黑体" w:eastAsia="黑体" w:cs="宋体"/>
                <w:b/>
                <w:bCs/>
                <w:color w:val="000000"/>
                <w:kern w:val="0"/>
                <w:sz w:val="22"/>
              </w:rPr>
            </w:pPr>
            <w:r>
              <w:rPr>
                <w:rFonts w:ascii="宋体" w:hAnsi="宋体"/>
                <w:sz w:val="28"/>
              </w:rPr>
              <w:t>620唐山市供销合作总社</w:t>
            </w:r>
          </w:p>
        </w:tc>
        <w:tc>
          <w:tcPr>
            <w:tcW w:w="2666" w:type="dxa"/>
            <w:gridSpan w:val="4"/>
            <w:tcBorders>
              <w:top w:val="nil"/>
              <w:left w:val="nil"/>
              <w:right w:val="nil"/>
            </w:tcBorders>
            <w:shd w:val="clear" w:color="auto" w:fill="auto"/>
            <w:vAlign w:val="center"/>
          </w:tcPr>
          <w:p>
            <w:pPr>
              <w:widowControl/>
              <w:jc w:val="right"/>
              <w:rPr>
                <w:rFonts w:hint="eastAsia" w:ascii="黑体" w:hAnsi="黑体" w:eastAsia="黑体" w:cs="宋体"/>
                <w:b/>
                <w:bCs/>
                <w:color w:val="000000"/>
                <w:kern w:val="0"/>
                <w:sz w:val="22"/>
              </w:rPr>
            </w:pPr>
            <w:r>
              <w:rPr>
                <w:rFonts w:ascii="宋体" w:hAnsi="宋体"/>
                <w:sz w:val="24"/>
              </w:rPr>
              <w:t>单位：人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tblHeader/>
          <w:jc w:val="center"/>
        </w:trPr>
        <w:tc>
          <w:tcPr>
            <w:tcW w:w="3227" w:type="dxa"/>
            <w:vMerge w:val="restart"/>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单位名称</w:t>
            </w:r>
          </w:p>
        </w:tc>
        <w:tc>
          <w:tcPr>
            <w:tcW w:w="1135" w:type="dxa"/>
            <w:vMerge w:val="restart"/>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单位性质</w:t>
            </w:r>
          </w:p>
        </w:tc>
        <w:tc>
          <w:tcPr>
            <w:tcW w:w="1134" w:type="dxa"/>
            <w:vMerge w:val="restart"/>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单位规格</w:t>
            </w:r>
          </w:p>
        </w:tc>
        <w:tc>
          <w:tcPr>
            <w:tcW w:w="1843" w:type="dxa"/>
            <w:vMerge w:val="restart"/>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经费保障形式</w:t>
            </w:r>
          </w:p>
        </w:tc>
        <w:tc>
          <w:tcPr>
            <w:tcW w:w="850" w:type="dxa"/>
            <w:vMerge w:val="restart"/>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车辆编制数</w:t>
            </w:r>
          </w:p>
        </w:tc>
        <w:tc>
          <w:tcPr>
            <w:tcW w:w="1700" w:type="dxa"/>
            <w:gridSpan w:val="2"/>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编制人数</w:t>
            </w:r>
          </w:p>
        </w:tc>
        <w:tc>
          <w:tcPr>
            <w:tcW w:w="1700" w:type="dxa"/>
            <w:gridSpan w:val="3"/>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编制内实有人数</w:t>
            </w:r>
          </w:p>
        </w:tc>
        <w:tc>
          <w:tcPr>
            <w:tcW w:w="995" w:type="dxa"/>
            <w:vMerge w:val="restart"/>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color w:val="000000"/>
                <w:kern w:val="0"/>
                <w:szCs w:val="21"/>
              </w:rPr>
              <w:t>编制外实有人数</w:t>
            </w:r>
          </w:p>
        </w:tc>
        <w:tc>
          <w:tcPr>
            <w:tcW w:w="1590" w:type="dxa"/>
            <w:gridSpan w:val="2"/>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离退人数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3227" w:type="dxa"/>
            <w:vMerge w:val="continue"/>
            <w:vAlign w:val="center"/>
          </w:tcPr>
          <w:p>
            <w:pPr>
              <w:widowControl/>
              <w:jc w:val="center"/>
              <w:rPr>
                <w:rFonts w:ascii="黑体" w:hAnsi="黑体" w:eastAsia="黑体" w:cs="宋体"/>
                <w:b/>
                <w:bCs/>
                <w:color w:val="000000"/>
                <w:kern w:val="0"/>
                <w:szCs w:val="21"/>
              </w:rPr>
            </w:pPr>
          </w:p>
        </w:tc>
        <w:tc>
          <w:tcPr>
            <w:tcW w:w="1135" w:type="dxa"/>
            <w:vMerge w:val="continue"/>
            <w:vAlign w:val="center"/>
          </w:tcPr>
          <w:p>
            <w:pPr>
              <w:widowControl/>
              <w:jc w:val="center"/>
              <w:rPr>
                <w:rFonts w:ascii="黑体" w:hAnsi="黑体" w:eastAsia="黑体" w:cs="宋体"/>
                <w:b/>
                <w:bCs/>
                <w:color w:val="000000"/>
                <w:kern w:val="0"/>
                <w:szCs w:val="21"/>
              </w:rPr>
            </w:pPr>
          </w:p>
        </w:tc>
        <w:tc>
          <w:tcPr>
            <w:tcW w:w="1134" w:type="dxa"/>
            <w:vMerge w:val="continue"/>
            <w:vAlign w:val="center"/>
          </w:tcPr>
          <w:p>
            <w:pPr>
              <w:widowControl/>
              <w:jc w:val="center"/>
              <w:rPr>
                <w:rFonts w:ascii="黑体" w:hAnsi="黑体" w:eastAsia="黑体" w:cs="宋体"/>
                <w:b/>
                <w:bCs/>
                <w:color w:val="000000"/>
                <w:kern w:val="0"/>
                <w:szCs w:val="21"/>
              </w:rPr>
            </w:pPr>
          </w:p>
        </w:tc>
        <w:tc>
          <w:tcPr>
            <w:tcW w:w="1843" w:type="dxa"/>
            <w:vMerge w:val="continue"/>
            <w:vAlign w:val="center"/>
          </w:tcPr>
          <w:p>
            <w:pPr>
              <w:widowControl/>
              <w:jc w:val="center"/>
              <w:rPr>
                <w:rFonts w:ascii="黑体" w:hAnsi="黑体" w:eastAsia="黑体" w:cs="宋体"/>
                <w:b/>
                <w:bCs/>
                <w:color w:val="000000"/>
                <w:kern w:val="0"/>
                <w:szCs w:val="21"/>
              </w:rPr>
            </w:pPr>
          </w:p>
        </w:tc>
        <w:tc>
          <w:tcPr>
            <w:tcW w:w="850" w:type="dxa"/>
            <w:vMerge w:val="continue"/>
            <w:vAlign w:val="center"/>
          </w:tcPr>
          <w:p>
            <w:pPr>
              <w:widowControl/>
              <w:jc w:val="center"/>
              <w:rPr>
                <w:rFonts w:ascii="黑体" w:hAnsi="黑体" w:eastAsia="黑体" w:cs="宋体"/>
                <w:b/>
                <w:bCs/>
                <w:color w:val="000000"/>
                <w:kern w:val="0"/>
                <w:szCs w:val="21"/>
              </w:rPr>
            </w:pPr>
          </w:p>
        </w:tc>
        <w:tc>
          <w:tcPr>
            <w:tcW w:w="850" w:type="dxa"/>
            <w:vMerge w:val="restart"/>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行政</w:t>
            </w:r>
          </w:p>
        </w:tc>
        <w:tc>
          <w:tcPr>
            <w:tcW w:w="850" w:type="dxa"/>
            <w:vMerge w:val="restart"/>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事业</w:t>
            </w:r>
          </w:p>
        </w:tc>
        <w:tc>
          <w:tcPr>
            <w:tcW w:w="850" w:type="dxa"/>
            <w:vMerge w:val="restart"/>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行政</w:t>
            </w:r>
          </w:p>
        </w:tc>
        <w:tc>
          <w:tcPr>
            <w:tcW w:w="850" w:type="dxa"/>
            <w:gridSpan w:val="2"/>
            <w:vMerge w:val="restart"/>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事业</w:t>
            </w:r>
          </w:p>
        </w:tc>
        <w:tc>
          <w:tcPr>
            <w:tcW w:w="995" w:type="dxa"/>
            <w:vMerge w:val="continue"/>
            <w:vAlign w:val="center"/>
          </w:tcPr>
          <w:p>
            <w:pPr>
              <w:widowControl/>
              <w:jc w:val="center"/>
              <w:rPr>
                <w:rFonts w:ascii="黑体" w:hAnsi="黑体" w:eastAsia="黑体" w:cs="宋体"/>
                <w:b/>
                <w:bCs/>
                <w:color w:val="000000"/>
                <w:kern w:val="0"/>
                <w:szCs w:val="21"/>
              </w:rPr>
            </w:pPr>
          </w:p>
        </w:tc>
        <w:tc>
          <w:tcPr>
            <w:tcW w:w="853" w:type="dxa"/>
            <w:vMerge w:val="restart"/>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离休</w:t>
            </w:r>
          </w:p>
        </w:tc>
        <w:tc>
          <w:tcPr>
            <w:tcW w:w="737" w:type="dxa"/>
            <w:vMerge w:val="restart"/>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退休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3227" w:type="dxa"/>
            <w:vMerge w:val="continue"/>
            <w:vAlign w:val="center"/>
          </w:tcPr>
          <w:p>
            <w:pPr>
              <w:widowControl/>
              <w:jc w:val="center"/>
              <w:rPr>
                <w:rFonts w:ascii="黑体" w:hAnsi="黑体" w:eastAsia="黑体" w:cs="宋体"/>
                <w:b/>
                <w:bCs/>
                <w:color w:val="000000"/>
                <w:kern w:val="0"/>
                <w:szCs w:val="21"/>
              </w:rPr>
            </w:pPr>
          </w:p>
        </w:tc>
        <w:tc>
          <w:tcPr>
            <w:tcW w:w="1135" w:type="dxa"/>
            <w:vMerge w:val="continue"/>
            <w:vAlign w:val="center"/>
          </w:tcPr>
          <w:p>
            <w:pPr>
              <w:widowControl/>
              <w:jc w:val="center"/>
              <w:rPr>
                <w:rFonts w:ascii="黑体" w:hAnsi="黑体" w:eastAsia="黑体" w:cs="宋体"/>
                <w:b/>
                <w:bCs/>
                <w:color w:val="000000"/>
                <w:kern w:val="0"/>
                <w:szCs w:val="21"/>
              </w:rPr>
            </w:pPr>
          </w:p>
        </w:tc>
        <w:tc>
          <w:tcPr>
            <w:tcW w:w="1134" w:type="dxa"/>
            <w:vMerge w:val="continue"/>
            <w:vAlign w:val="center"/>
          </w:tcPr>
          <w:p>
            <w:pPr>
              <w:widowControl/>
              <w:jc w:val="center"/>
              <w:rPr>
                <w:rFonts w:ascii="黑体" w:hAnsi="黑体" w:eastAsia="黑体" w:cs="宋体"/>
                <w:b/>
                <w:bCs/>
                <w:color w:val="000000"/>
                <w:kern w:val="0"/>
                <w:szCs w:val="21"/>
              </w:rPr>
            </w:pPr>
          </w:p>
        </w:tc>
        <w:tc>
          <w:tcPr>
            <w:tcW w:w="1843" w:type="dxa"/>
            <w:vMerge w:val="continue"/>
            <w:vAlign w:val="center"/>
          </w:tcPr>
          <w:p>
            <w:pPr>
              <w:widowControl/>
              <w:jc w:val="center"/>
              <w:rPr>
                <w:rFonts w:ascii="黑体" w:hAnsi="黑体" w:eastAsia="黑体" w:cs="宋体"/>
                <w:b/>
                <w:bCs/>
                <w:color w:val="000000"/>
                <w:kern w:val="0"/>
                <w:szCs w:val="21"/>
              </w:rPr>
            </w:pPr>
          </w:p>
        </w:tc>
        <w:tc>
          <w:tcPr>
            <w:tcW w:w="850" w:type="dxa"/>
            <w:vMerge w:val="continue"/>
            <w:vAlign w:val="center"/>
          </w:tcPr>
          <w:p>
            <w:pPr>
              <w:widowControl/>
              <w:jc w:val="center"/>
              <w:rPr>
                <w:rFonts w:ascii="黑体" w:hAnsi="黑体" w:eastAsia="黑体" w:cs="宋体"/>
                <w:b/>
                <w:bCs/>
                <w:color w:val="000000"/>
                <w:kern w:val="0"/>
                <w:szCs w:val="21"/>
              </w:rPr>
            </w:pPr>
          </w:p>
        </w:tc>
        <w:tc>
          <w:tcPr>
            <w:tcW w:w="850" w:type="dxa"/>
            <w:vMerge w:val="continue"/>
            <w:vAlign w:val="center"/>
          </w:tcPr>
          <w:p>
            <w:pPr>
              <w:widowControl/>
              <w:jc w:val="center"/>
              <w:rPr>
                <w:rFonts w:ascii="黑体" w:hAnsi="黑体" w:eastAsia="黑体" w:cs="宋体"/>
                <w:b/>
                <w:bCs/>
                <w:color w:val="000000"/>
                <w:kern w:val="0"/>
                <w:szCs w:val="21"/>
              </w:rPr>
            </w:pPr>
          </w:p>
        </w:tc>
        <w:tc>
          <w:tcPr>
            <w:tcW w:w="850" w:type="dxa"/>
            <w:vMerge w:val="continue"/>
            <w:vAlign w:val="center"/>
          </w:tcPr>
          <w:p>
            <w:pPr>
              <w:widowControl/>
              <w:jc w:val="center"/>
              <w:rPr>
                <w:rFonts w:ascii="黑体" w:hAnsi="黑体" w:eastAsia="黑体" w:cs="宋体"/>
                <w:b/>
                <w:bCs/>
                <w:color w:val="000000"/>
                <w:kern w:val="0"/>
                <w:szCs w:val="21"/>
              </w:rPr>
            </w:pPr>
          </w:p>
        </w:tc>
        <w:tc>
          <w:tcPr>
            <w:tcW w:w="850" w:type="dxa"/>
            <w:vMerge w:val="continue"/>
            <w:vAlign w:val="center"/>
          </w:tcPr>
          <w:p>
            <w:pPr>
              <w:widowControl/>
              <w:jc w:val="center"/>
              <w:rPr>
                <w:rFonts w:ascii="黑体" w:hAnsi="黑体" w:eastAsia="黑体" w:cs="宋体"/>
                <w:b/>
                <w:bCs/>
                <w:color w:val="000000"/>
                <w:kern w:val="0"/>
                <w:szCs w:val="21"/>
              </w:rPr>
            </w:pPr>
          </w:p>
        </w:tc>
        <w:tc>
          <w:tcPr>
            <w:tcW w:w="850" w:type="dxa"/>
            <w:gridSpan w:val="2"/>
            <w:vMerge w:val="continue"/>
            <w:vAlign w:val="center"/>
          </w:tcPr>
          <w:p>
            <w:pPr>
              <w:widowControl/>
              <w:jc w:val="center"/>
              <w:rPr>
                <w:rFonts w:ascii="黑体" w:hAnsi="黑体" w:eastAsia="黑体" w:cs="宋体"/>
                <w:b/>
                <w:bCs/>
                <w:color w:val="000000"/>
                <w:kern w:val="0"/>
                <w:szCs w:val="21"/>
              </w:rPr>
            </w:pPr>
          </w:p>
        </w:tc>
        <w:tc>
          <w:tcPr>
            <w:tcW w:w="995" w:type="dxa"/>
            <w:vMerge w:val="continue"/>
            <w:vAlign w:val="center"/>
          </w:tcPr>
          <w:p>
            <w:pPr>
              <w:widowControl/>
              <w:jc w:val="center"/>
              <w:rPr>
                <w:rFonts w:ascii="黑体" w:hAnsi="黑体" w:eastAsia="黑体" w:cs="宋体"/>
                <w:b/>
                <w:bCs/>
                <w:color w:val="000000"/>
                <w:kern w:val="0"/>
                <w:szCs w:val="21"/>
              </w:rPr>
            </w:pPr>
          </w:p>
        </w:tc>
        <w:tc>
          <w:tcPr>
            <w:tcW w:w="853" w:type="dxa"/>
            <w:vMerge w:val="continue"/>
            <w:vAlign w:val="center"/>
          </w:tcPr>
          <w:p>
            <w:pPr>
              <w:widowControl/>
              <w:jc w:val="center"/>
              <w:rPr>
                <w:rFonts w:ascii="黑体" w:hAnsi="黑体" w:eastAsia="黑体" w:cs="宋体"/>
                <w:b/>
                <w:bCs/>
                <w:color w:val="000000"/>
                <w:kern w:val="0"/>
                <w:szCs w:val="21"/>
              </w:rPr>
            </w:pPr>
          </w:p>
        </w:tc>
        <w:tc>
          <w:tcPr>
            <w:tcW w:w="737" w:type="dxa"/>
            <w:vMerge w:val="continue"/>
            <w:vAlign w:val="center"/>
          </w:tcPr>
          <w:p>
            <w:pPr>
              <w:widowControl/>
              <w:jc w:val="center"/>
              <w:rPr>
                <w:rFonts w:ascii="黑体" w:hAnsi="黑体" w:eastAsia="黑体" w:cs="宋体"/>
                <w:b/>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3227" w:type="dxa"/>
            <w:vMerge w:val="continue"/>
            <w:shd w:val="clear" w:color="auto" w:fill="auto"/>
            <w:vAlign w:val="center"/>
          </w:tcPr>
          <w:p>
            <w:pPr>
              <w:widowControl/>
              <w:rPr>
                <w:rFonts w:ascii="宋体" w:hAnsi="宋体" w:cs="宋体"/>
                <w:color w:val="000000"/>
                <w:kern w:val="0"/>
                <w:szCs w:val="21"/>
              </w:rPr>
            </w:pPr>
          </w:p>
        </w:tc>
        <w:tc>
          <w:tcPr>
            <w:tcW w:w="1135" w:type="dxa"/>
            <w:vMerge w:val="continue"/>
            <w:shd w:val="clear" w:color="auto" w:fill="auto"/>
            <w:vAlign w:val="center"/>
          </w:tcPr>
          <w:p>
            <w:pPr>
              <w:widowControl/>
              <w:rPr>
                <w:rFonts w:ascii="宋体" w:hAnsi="宋体" w:cs="宋体"/>
                <w:color w:val="000000"/>
                <w:kern w:val="0"/>
                <w:szCs w:val="21"/>
              </w:rPr>
            </w:pPr>
          </w:p>
        </w:tc>
        <w:tc>
          <w:tcPr>
            <w:tcW w:w="1134" w:type="dxa"/>
            <w:vMerge w:val="continue"/>
            <w:shd w:val="clear" w:color="auto" w:fill="auto"/>
            <w:vAlign w:val="center"/>
          </w:tcPr>
          <w:p>
            <w:pPr>
              <w:widowControl/>
              <w:rPr>
                <w:rFonts w:ascii="宋体" w:hAnsi="宋体" w:cs="宋体"/>
                <w:color w:val="000000"/>
                <w:kern w:val="0"/>
                <w:szCs w:val="21"/>
              </w:rPr>
            </w:pPr>
          </w:p>
        </w:tc>
        <w:tc>
          <w:tcPr>
            <w:tcW w:w="1843" w:type="dxa"/>
            <w:vMerge w:val="continue"/>
            <w:shd w:val="clear" w:color="auto" w:fill="auto"/>
            <w:vAlign w:val="center"/>
          </w:tcPr>
          <w:p>
            <w:pPr>
              <w:widowControl/>
              <w:rPr>
                <w:rFonts w:ascii="宋体" w:hAnsi="宋体" w:cs="宋体"/>
                <w:color w:val="000000"/>
                <w:kern w:val="0"/>
                <w:szCs w:val="21"/>
              </w:rPr>
            </w:pPr>
          </w:p>
        </w:tc>
        <w:tc>
          <w:tcPr>
            <w:tcW w:w="850" w:type="dxa"/>
            <w:vMerge w:val="continue"/>
            <w:shd w:val="clear" w:color="auto" w:fill="auto"/>
            <w:vAlign w:val="center"/>
          </w:tcPr>
          <w:p>
            <w:pPr>
              <w:widowControl/>
              <w:jc w:val="right"/>
              <w:rPr>
                <w:rFonts w:ascii="宋体" w:hAnsi="宋体" w:cs="宋体"/>
                <w:color w:val="000000"/>
                <w:kern w:val="0"/>
                <w:szCs w:val="21"/>
              </w:rPr>
            </w:pPr>
          </w:p>
        </w:tc>
        <w:tc>
          <w:tcPr>
            <w:tcW w:w="850" w:type="dxa"/>
            <w:vMerge w:val="continue"/>
            <w:shd w:val="clear" w:color="auto" w:fill="auto"/>
            <w:vAlign w:val="center"/>
          </w:tcPr>
          <w:p>
            <w:pPr>
              <w:widowControl/>
              <w:jc w:val="right"/>
              <w:rPr>
                <w:rFonts w:ascii="宋体" w:hAnsi="宋体" w:cs="宋体"/>
                <w:color w:val="000000"/>
                <w:kern w:val="0"/>
                <w:szCs w:val="21"/>
              </w:rPr>
            </w:pPr>
          </w:p>
        </w:tc>
        <w:tc>
          <w:tcPr>
            <w:tcW w:w="850" w:type="dxa"/>
            <w:vMerge w:val="continue"/>
            <w:shd w:val="clear" w:color="auto" w:fill="auto"/>
            <w:vAlign w:val="center"/>
          </w:tcPr>
          <w:p>
            <w:pPr>
              <w:widowControl/>
              <w:jc w:val="right"/>
              <w:rPr>
                <w:rFonts w:ascii="宋体" w:hAnsi="宋体" w:cs="宋体"/>
                <w:color w:val="000000"/>
                <w:kern w:val="0"/>
                <w:szCs w:val="21"/>
              </w:rPr>
            </w:pPr>
          </w:p>
        </w:tc>
        <w:tc>
          <w:tcPr>
            <w:tcW w:w="850" w:type="dxa"/>
            <w:vMerge w:val="continue"/>
            <w:shd w:val="clear" w:color="auto" w:fill="auto"/>
            <w:vAlign w:val="center"/>
          </w:tcPr>
          <w:p>
            <w:pPr>
              <w:widowControl/>
              <w:jc w:val="right"/>
              <w:rPr>
                <w:rFonts w:ascii="宋体" w:hAnsi="宋体" w:cs="宋体"/>
                <w:color w:val="000000"/>
                <w:kern w:val="0"/>
                <w:szCs w:val="21"/>
              </w:rPr>
            </w:pPr>
          </w:p>
        </w:tc>
        <w:tc>
          <w:tcPr>
            <w:tcW w:w="850" w:type="dxa"/>
            <w:gridSpan w:val="2"/>
            <w:vMerge w:val="continue"/>
            <w:shd w:val="clear" w:color="auto" w:fill="auto"/>
            <w:vAlign w:val="center"/>
          </w:tcPr>
          <w:p>
            <w:pPr>
              <w:widowControl/>
              <w:jc w:val="right"/>
              <w:rPr>
                <w:rFonts w:ascii="宋体" w:hAnsi="宋体" w:cs="宋体"/>
                <w:color w:val="000000"/>
                <w:kern w:val="0"/>
                <w:szCs w:val="21"/>
              </w:rPr>
            </w:pPr>
          </w:p>
        </w:tc>
        <w:tc>
          <w:tcPr>
            <w:tcW w:w="995" w:type="dxa"/>
            <w:vMerge w:val="continue"/>
            <w:shd w:val="clear" w:color="auto" w:fill="auto"/>
            <w:vAlign w:val="center"/>
          </w:tcPr>
          <w:p>
            <w:pPr>
              <w:widowControl/>
              <w:jc w:val="right"/>
              <w:rPr>
                <w:rFonts w:ascii="宋体" w:hAnsi="宋体" w:cs="宋体"/>
                <w:color w:val="000000"/>
                <w:kern w:val="0"/>
                <w:szCs w:val="21"/>
              </w:rPr>
            </w:pPr>
          </w:p>
        </w:tc>
        <w:tc>
          <w:tcPr>
            <w:tcW w:w="853" w:type="dxa"/>
            <w:vMerge w:val="continue"/>
            <w:shd w:val="clear" w:color="auto" w:fill="auto"/>
            <w:vAlign w:val="center"/>
          </w:tcPr>
          <w:p>
            <w:pPr>
              <w:widowControl/>
              <w:jc w:val="right"/>
              <w:rPr>
                <w:rFonts w:ascii="宋体" w:hAnsi="宋体" w:cs="宋体"/>
                <w:color w:val="000000"/>
                <w:kern w:val="0"/>
                <w:szCs w:val="21"/>
              </w:rPr>
            </w:pPr>
          </w:p>
        </w:tc>
        <w:tc>
          <w:tcPr>
            <w:tcW w:w="737" w:type="dxa"/>
            <w:vMerge w:val="continue"/>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3227"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唐山市供销合作总社</w:t>
            </w:r>
          </w:p>
        </w:tc>
        <w:tc>
          <w:tcPr>
            <w:tcW w:w="1135"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参公单位</w:t>
            </w:r>
          </w:p>
        </w:tc>
        <w:tc>
          <w:tcPr>
            <w:tcW w:w="1134"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正处级</w:t>
            </w:r>
          </w:p>
        </w:tc>
        <w:tc>
          <w:tcPr>
            <w:tcW w:w="1843"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财政性资金基本保证经费</w:t>
            </w:r>
          </w:p>
        </w:tc>
        <w:tc>
          <w:tcPr>
            <w:tcW w:w="850"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w:t>
            </w:r>
          </w:p>
        </w:tc>
        <w:tc>
          <w:tcPr>
            <w:tcW w:w="850"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33</w:t>
            </w:r>
          </w:p>
        </w:tc>
        <w:tc>
          <w:tcPr>
            <w:tcW w:w="850" w:type="dxa"/>
            <w:shd w:val="clear" w:color="auto" w:fill="auto"/>
            <w:vAlign w:val="center"/>
          </w:tcPr>
          <w:p>
            <w:pPr>
              <w:widowControl/>
              <w:jc w:val="right"/>
              <w:rPr>
                <w:rFonts w:ascii="宋体" w:hAnsi="宋体" w:cs="宋体"/>
                <w:color w:val="000000"/>
                <w:kern w:val="0"/>
                <w:szCs w:val="21"/>
              </w:rPr>
            </w:pPr>
          </w:p>
        </w:tc>
        <w:tc>
          <w:tcPr>
            <w:tcW w:w="850"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35</w:t>
            </w:r>
          </w:p>
        </w:tc>
        <w:tc>
          <w:tcPr>
            <w:tcW w:w="850" w:type="dxa"/>
            <w:gridSpan w:val="2"/>
            <w:shd w:val="clear" w:color="auto" w:fill="auto"/>
            <w:vAlign w:val="center"/>
          </w:tcPr>
          <w:p>
            <w:pPr>
              <w:widowControl/>
              <w:jc w:val="right"/>
              <w:rPr>
                <w:rFonts w:ascii="宋体" w:hAnsi="宋体" w:cs="宋体"/>
                <w:color w:val="000000"/>
                <w:kern w:val="0"/>
                <w:szCs w:val="21"/>
              </w:rPr>
            </w:pPr>
          </w:p>
        </w:tc>
        <w:tc>
          <w:tcPr>
            <w:tcW w:w="995" w:type="dxa"/>
            <w:shd w:val="clear" w:color="auto" w:fill="auto"/>
            <w:vAlign w:val="center"/>
          </w:tcPr>
          <w:p>
            <w:pPr>
              <w:widowControl/>
              <w:jc w:val="right"/>
              <w:rPr>
                <w:rFonts w:ascii="宋体" w:hAnsi="宋体" w:cs="宋体"/>
                <w:color w:val="000000"/>
                <w:kern w:val="0"/>
                <w:szCs w:val="21"/>
              </w:rPr>
            </w:pPr>
          </w:p>
        </w:tc>
        <w:tc>
          <w:tcPr>
            <w:tcW w:w="853"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19</w:t>
            </w:r>
          </w:p>
        </w:tc>
        <w:tc>
          <w:tcPr>
            <w:tcW w:w="73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3227"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 xml:space="preserve">    合计</w:t>
            </w:r>
          </w:p>
        </w:tc>
        <w:tc>
          <w:tcPr>
            <w:tcW w:w="1135" w:type="dxa"/>
            <w:shd w:val="clear" w:color="auto" w:fill="auto"/>
            <w:vAlign w:val="center"/>
          </w:tcPr>
          <w:p>
            <w:pPr>
              <w:widowControl/>
              <w:rPr>
                <w:rFonts w:ascii="宋体" w:hAnsi="宋体" w:cs="宋体"/>
                <w:color w:val="000000"/>
                <w:kern w:val="0"/>
                <w:szCs w:val="21"/>
              </w:rPr>
            </w:pPr>
          </w:p>
        </w:tc>
        <w:tc>
          <w:tcPr>
            <w:tcW w:w="1134" w:type="dxa"/>
            <w:shd w:val="clear" w:color="auto" w:fill="auto"/>
            <w:vAlign w:val="center"/>
          </w:tcPr>
          <w:p>
            <w:pPr>
              <w:widowControl/>
              <w:rPr>
                <w:rFonts w:ascii="宋体" w:hAnsi="宋体" w:cs="宋体"/>
                <w:color w:val="000000"/>
                <w:kern w:val="0"/>
                <w:szCs w:val="21"/>
              </w:rPr>
            </w:pPr>
          </w:p>
        </w:tc>
        <w:tc>
          <w:tcPr>
            <w:tcW w:w="1843" w:type="dxa"/>
            <w:shd w:val="clear" w:color="auto" w:fill="auto"/>
            <w:vAlign w:val="center"/>
          </w:tcPr>
          <w:p>
            <w:pPr>
              <w:widowControl/>
              <w:rPr>
                <w:rFonts w:ascii="宋体" w:hAnsi="宋体" w:cs="宋体"/>
                <w:color w:val="000000"/>
                <w:kern w:val="0"/>
                <w:szCs w:val="21"/>
              </w:rPr>
            </w:pPr>
          </w:p>
        </w:tc>
        <w:tc>
          <w:tcPr>
            <w:tcW w:w="850"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w:t>
            </w:r>
          </w:p>
        </w:tc>
        <w:tc>
          <w:tcPr>
            <w:tcW w:w="850"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33</w:t>
            </w:r>
          </w:p>
        </w:tc>
        <w:tc>
          <w:tcPr>
            <w:tcW w:w="850" w:type="dxa"/>
            <w:shd w:val="clear" w:color="auto" w:fill="auto"/>
            <w:vAlign w:val="center"/>
          </w:tcPr>
          <w:p>
            <w:pPr>
              <w:widowControl/>
              <w:jc w:val="right"/>
              <w:rPr>
                <w:rFonts w:ascii="宋体" w:hAnsi="宋体" w:cs="宋体"/>
                <w:color w:val="000000"/>
                <w:kern w:val="0"/>
                <w:szCs w:val="21"/>
              </w:rPr>
            </w:pPr>
          </w:p>
        </w:tc>
        <w:tc>
          <w:tcPr>
            <w:tcW w:w="850"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35</w:t>
            </w:r>
          </w:p>
        </w:tc>
        <w:tc>
          <w:tcPr>
            <w:tcW w:w="850" w:type="dxa"/>
            <w:gridSpan w:val="2"/>
            <w:shd w:val="clear" w:color="auto" w:fill="auto"/>
            <w:vAlign w:val="center"/>
          </w:tcPr>
          <w:p>
            <w:pPr>
              <w:widowControl/>
              <w:jc w:val="right"/>
              <w:rPr>
                <w:rFonts w:ascii="宋体" w:hAnsi="宋体" w:cs="宋体"/>
                <w:color w:val="000000"/>
                <w:kern w:val="0"/>
                <w:szCs w:val="21"/>
              </w:rPr>
            </w:pPr>
          </w:p>
        </w:tc>
        <w:tc>
          <w:tcPr>
            <w:tcW w:w="995" w:type="dxa"/>
            <w:shd w:val="clear" w:color="auto" w:fill="auto"/>
            <w:vAlign w:val="center"/>
          </w:tcPr>
          <w:p>
            <w:pPr>
              <w:widowControl/>
              <w:jc w:val="right"/>
              <w:rPr>
                <w:rFonts w:ascii="宋体" w:hAnsi="宋体" w:cs="宋体"/>
                <w:color w:val="000000"/>
                <w:kern w:val="0"/>
                <w:szCs w:val="21"/>
              </w:rPr>
            </w:pPr>
          </w:p>
        </w:tc>
        <w:tc>
          <w:tcPr>
            <w:tcW w:w="853"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19</w:t>
            </w:r>
          </w:p>
        </w:tc>
        <w:tc>
          <w:tcPr>
            <w:tcW w:w="73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54</w:t>
            </w:r>
          </w:p>
        </w:tc>
      </w:tr>
    </w:tbl>
    <w:p/>
    <w:p>
      <w:pPr>
        <w:jc w:val="left"/>
        <w:rPr>
          <w:rFonts w:ascii="仿宋" w:hAnsi="仿宋" w:eastAsia="仿宋"/>
          <w:color w:val="000000"/>
          <w:sz w:val="28"/>
        </w:rPr>
        <w:sectPr>
          <w:headerReference r:id="rId12" w:type="default"/>
          <w:pgSz w:w="16838" w:h="11906" w:orient="landscape"/>
          <w:pgMar w:top="1800" w:right="1440" w:bottom="1800" w:left="1440" w:header="851" w:footer="992" w:gutter="0"/>
          <w:cols w:space="425" w:num="1"/>
          <w:docGrid w:type="lines" w:linePitch="312" w:charSpace="0"/>
        </w:sectPr>
      </w:pPr>
    </w:p>
    <w:p>
      <w:pPr>
        <w:pStyle w:val="8"/>
        <w:rPr>
          <w:rFonts w:hint="eastAsia"/>
        </w:rPr>
      </w:pPr>
      <w:bookmarkStart w:id="10" w:name="_Toc91779129"/>
      <w:r>
        <w:rPr>
          <w:rFonts w:hint="eastAsia"/>
        </w:rPr>
        <w:t>部门专项公用经费项目支出一览表</w:t>
      </w:r>
      <w:bookmarkEnd w:id="10"/>
      <w:r>
        <w:rPr>
          <w:rFonts w:hint="eastAsia"/>
        </w:rPr>
        <w:t xml:space="preserve">                        </w:t>
      </w:r>
      <w:r>
        <w:rPr>
          <w:sz w:val="24"/>
        </w:rPr>
        <w:t xml:space="preserve">      </w:t>
      </w:r>
    </w:p>
    <w:tbl>
      <w:tblPr>
        <w:tblStyle w:val="9"/>
        <w:tblW w:w="14048" w:type="dxa"/>
        <w:tblInd w:w="93" w:type="dxa"/>
        <w:tblLayout w:type="autofit"/>
        <w:tblCellMar>
          <w:top w:w="0" w:type="dxa"/>
          <w:left w:w="108" w:type="dxa"/>
          <w:bottom w:w="0" w:type="dxa"/>
          <w:right w:w="108" w:type="dxa"/>
        </w:tblCellMar>
      </w:tblPr>
      <w:tblGrid>
        <w:gridCol w:w="2992"/>
        <w:gridCol w:w="3686"/>
        <w:gridCol w:w="1417"/>
        <w:gridCol w:w="1134"/>
        <w:gridCol w:w="1134"/>
        <w:gridCol w:w="173"/>
        <w:gridCol w:w="1103"/>
        <w:gridCol w:w="1134"/>
        <w:gridCol w:w="1275"/>
      </w:tblGrid>
      <w:tr>
        <w:tblPrEx>
          <w:tblCellMar>
            <w:top w:w="0" w:type="dxa"/>
            <w:left w:w="108" w:type="dxa"/>
            <w:bottom w:w="0" w:type="dxa"/>
            <w:right w:w="108" w:type="dxa"/>
          </w:tblCellMar>
        </w:tblPrEx>
        <w:trPr>
          <w:cantSplit/>
          <w:trHeight w:val="294" w:hRule="atLeast"/>
          <w:tblHeader/>
        </w:trPr>
        <w:tc>
          <w:tcPr>
            <w:tcW w:w="10536" w:type="dxa"/>
            <w:gridSpan w:val="6"/>
            <w:tcBorders>
              <w:top w:val="nil"/>
              <w:left w:val="nil"/>
              <w:bottom w:val="single" w:color="auto" w:sz="4" w:space="0"/>
              <w:right w:val="nil"/>
            </w:tcBorders>
            <w:shd w:val="clear" w:color="auto" w:fill="auto"/>
            <w:noWrap/>
            <w:vAlign w:val="bottom"/>
          </w:tcPr>
          <w:p>
            <w:pPr>
              <w:widowControl/>
              <w:jc w:val="left"/>
              <w:rPr>
                <w:rFonts w:ascii="宋体" w:hAnsi="宋体" w:cs="宋体"/>
                <w:color w:val="000000"/>
                <w:kern w:val="0"/>
                <w:sz w:val="22"/>
              </w:rPr>
            </w:pPr>
            <w:r>
              <w:rPr>
                <w:rFonts w:ascii="宋体" w:hAnsi="宋体" w:cs="宋体"/>
                <w:color w:val="000000"/>
                <w:kern w:val="0"/>
                <w:sz w:val="22"/>
              </w:rPr>
              <w:t>620唐山市供销合作总社</w:t>
            </w:r>
          </w:p>
        </w:tc>
        <w:tc>
          <w:tcPr>
            <w:tcW w:w="3512" w:type="dxa"/>
            <w:gridSpan w:val="3"/>
            <w:tcBorders>
              <w:top w:val="nil"/>
              <w:left w:val="nil"/>
              <w:bottom w:val="single" w:color="auto" w:sz="4" w:space="0"/>
              <w:right w:val="nil"/>
            </w:tcBorders>
            <w:shd w:val="clear" w:color="auto" w:fill="auto"/>
            <w:noWrap/>
            <w:vAlign w:val="bottom"/>
          </w:tcPr>
          <w:p>
            <w:pPr>
              <w:widowControl/>
              <w:jc w:val="right"/>
              <w:rPr>
                <w:rFonts w:ascii="宋体" w:hAnsi="宋体" w:cs="宋体"/>
                <w:color w:val="000000"/>
                <w:kern w:val="0"/>
                <w:sz w:val="22"/>
              </w:rPr>
            </w:pPr>
            <w:r>
              <w:rPr>
                <w:rFonts w:hint="eastAsia" w:ascii="宋体" w:hAnsi="宋体" w:cs="宋体"/>
                <w:color w:val="000000"/>
                <w:kern w:val="0"/>
                <w:sz w:val="22"/>
              </w:rPr>
              <w:t>单位：万元</w:t>
            </w:r>
          </w:p>
        </w:tc>
      </w:tr>
      <w:tr>
        <w:tblPrEx>
          <w:tblCellMar>
            <w:top w:w="0" w:type="dxa"/>
            <w:left w:w="108" w:type="dxa"/>
            <w:bottom w:w="0" w:type="dxa"/>
            <w:right w:w="108" w:type="dxa"/>
          </w:tblCellMar>
        </w:tblPrEx>
        <w:trPr>
          <w:cantSplit/>
          <w:trHeight w:val="294" w:hRule="atLeast"/>
          <w:tblHeader/>
        </w:trPr>
        <w:tc>
          <w:tcPr>
            <w:tcW w:w="299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单位名称</w:t>
            </w:r>
          </w:p>
        </w:tc>
        <w:tc>
          <w:tcPr>
            <w:tcW w:w="368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项目名称</w:t>
            </w:r>
          </w:p>
        </w:tc>
        <w:tc>
          <w:tcPr>
            <w:tcW w:w="7370" w:type="dxa"/>
            <w:gridSpan w:val="7"/>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经 费 来 源</w:t>
            </w:r>
          </w:p>
        </w:tc>
      </w:tr>
      <w:tr>
        <w:tblPrEx>
          <w:tblCellMar>
            <w:top w:w="0" w:type="dxa"/>
            <w:left w:w="108" w:type="dxa"/>
            <w:bottom w:w="0" w:type="dxa"/>
            <w:right w:w="108" w:type="dxa"/>
          </w:tblCellMar>
        </w:tblPrEx>
        <w:trPr>
          <w:cantSplit/>
          <w:trHeight w:val="339" w:hRule="atLeast"/>
          <w:tblHeader/>
        </w:trPr>
        <w:tc>
          <w:tcPr>
            <w:tcW w:w="299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p>
        </w:tc>
        <w:tc>
          <w:tcPr>
            <w:tcW w:w="368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p>
        </w:tc>
        <w:tc>
          <w:tcPr>
            <w:tcW w:w="141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合计</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一般公共预算拨款安排</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政府性基金预算拨款安排</w:t>
            </w:r>
          </w:p>
        </w:tc>
        <w:tc>
          <w:tcPr>
            <w:tcW w:w="1276"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国有资本经营预算拨款安排</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其他来源收入安排</w:t>
            </w:r>
          </w:p>
        </w:tc>
        <w:tc>
          <w:tcPr>
            <w:tcW w:w="127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高中及其以上教育收费</w:t>
            </w:r>
          </w:p>
        </w:tc>
      </w:tr>
      <w:tr>
        <w:tblPrEx>
          <w:tblCellMar>
            <w:top w:w="0" w:type="dxa"/>
            <w:left w:w="108" w:type="dxa"/>
            <w:bottom w:w="0" w:type="dxa"/>
            <w:right w:w="108" w:type="dxa"/>
          </w:tblCellMar>
        </w:tblPrEx>
        <w:trPr>
          <w:cantSplit/>
          <w:trHeight w:val="339" w:hRule="atLeast"/>
          <w:tblHeader/>
        </w:trPr>
        <w:tc>
          <w:tcPr>
            <w:tcW w:w="29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368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7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blHeader/>
        </w:trPr>
        <w:tc>
          <w:tcPr>
            <w:tcW w:w="299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368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4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1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1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1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2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唐山市供销合作总社</w:t>
            </w:r>
          </w:p>
        </w:tc>
        <w:tc>
          <w:tcPr>
            <w:tcW w:w="36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购置办公家具</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1.91</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1.91</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2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唐山市供销合作总社</w:t>
            </w:r>
          </w:p>
        </w:tc>
        <w:tc>
          <w:tcPr>
            <w:tcW w:w="36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年度系统工作会</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0.91</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0.91</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2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唐山市供销合作总社</w:t>
            </w:r>
          </w:p>
        </w:tc>
        <w:tc>
          <w:tcPr>
            <w:tcW w:w="36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重点工作调度会</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0.91</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0.91</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2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合计</w:t>
            </w:r>
          </w:p>
        </w:tc>
        <w:tc>
          <w:tcPr>
            <w:tcW w:w="36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3.73</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3.73</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bl>
    <w:p>
      <w:pPr>
        <w:spacing w:line="0" w:lineRule="atLeast"/>
      </w:pPr>
    </w:p>
    <w:p>
      <w:pPr>
        <w:jc w:val="left"/>
        <w:rPr>
          <w:rFonts w:ascii="仿宋" w:hAnsi="仿宋" w:eastAsia="仿宋"/>
          <w:color w:val="000000"/>
          <w:sz w:val="28"/>
        </w:rPr>
        <w:sectPr>
          <w:headerReference r:id="rId13" w:type="default"/>
          <w:pgSz w:w="16838" w:h="11906" w:orient="landscape"/>
          <w:pgMar w:top="1800" w:right="1440" w:bottom="1800" w:left="1440" w:header="851" w:footer="992" w:gutter="0"/>
          <w:cols w:space="425" w:num="1"/>
          <w:docGrid w:type="lines" w:linePitch="312" w:charSpace="0"/>
        </w:sectPr>
      </w:pPr>
    </w:p>
    <w:p>
      <w:pPr>
        <w:pStyle w:val="8"/>
        <w:rPr>
          <w:rFonts w:hint="eastAsia"/>
        </w:rPr>
      </w:pPr>
      <w:bookmarkStart w:id="11" w:name="_Toc91779130"/>
      <w:bookmarkStart w:id="12" w:name="_Toc503262875"/>
      <w:r>
        <w:rPr>
          <w:rFonts w:hint="eastAsia"/>
        </w:rPr>
        <w:t>部门专项项目支出一览表</w:t>
      </w:r>
      <w:bookmarkEnd w:id="11"/>
      <w:bookmarkEnd w:id="12"/>
      <w:r>
        <w:rPr>
          <w:rFonts w:hint="eastAsia"/>
        </w:rPr>
        <w:t xml:space="preserve">                        </w:t>
      </w:r>
      <w:r>
        <w:rPr>
          <w:sz w:val="24"/>
        </w:rPr>
        <w:t xml:space="preserve">      </w:t>
      </w:r>
    </w:p>
    <w:tbl>
      <w:tblPr>
        <w:tblStyle w:val="9"/>
        <w:tblW w:w="14064" w:type="dxa"/>
        <w:tblInd w:w="93" w:type="dxa"/>
        <w:tblLayout w:type="autofit"/>
        <w:tblCellMar>
          <w:top w:w="0" w:type="dxa"/>
          <w:left w:w="108" w:type="dxa"/>
          <w:bottom w:w="0" w:type="dxa"/>
          <w:right w:w="108" w:type="dxa"/>
        </w:tblCellMar>
      </w:tblPr>
      <w:tblGrid>
        <w:gridCol w:w="2850"/>
        <w:gridCol w:w="3402"/>
        <w:gridCol w:w="1418"/>
        <w:gridCol w:w="1120"/>
        <w:gridCol w:w="156"/>
        <w:gridCol w:w="1417"/>
        <w:gridCol w:w="1418"/>
        <w:gridCol w:w="1134"/>
        <w:gridCol w:w="1149"/>
      </w:tblGrid>
      <w:tr>
        <w:tblPrEx>
          <w:tblCellMar>
            <w:top w:w="0" w:type="dxa"/>
            <w:left w:w="108" w:type="dxa"/>
            <w:bottom w:w="0" w:type="dxa"/>
            <w:right w:w="108" w:type="dxa"/>
          </w:tblCellMar>
        </w:tblPrEx>
        <w:trPr>
          <w:cantSplit/>
          <w:trHeight w:val="278" w:hRule="atLeast"/>
          <w:tblHeader/>
        </w:trPr>
        <w:tc>
          <w:tcPr>
            <w:tcW w:w="8790" w:type="dxa"/>
            <w:gridSpan w:val="4"/>
            <w:tcBorders>
              <w:top w:val="nil"/>
              <w:left w:val="nil"/>
              <w:bottom w:val="single" w:color="auto" w:sz="4" w:space="0"/>
              <w:right w:val="nil"/>
            </w:tcBorders>
            <w:shd w:val="clear" w:color="auto" w:fill="auto"/>
            <w:noWrap/>
            <w:vAlign w:val="bottom"/>
          </w:tcPr>
          <w:p>
            <w:pPr>
              <w:widowControl/>
              <w:jc w:val="left"/>
              <w:rPr>
                <w:rFonts w:ascii="宋体" w:hAnsi="宋体" w:cs="宋体"/>
                <w:color w:val="000000"/>
                <w:kern w:val="0"/>
                <w:sz w:val="28"/>
                <w:szCs w:val="28"/>
              </w:rPr>
            </w:pPr>
            <w:r>
              <w:rPr>
                <w:rFonts w:ascii="宋体" w:hAnsi="宋体" w:cs="宋体"/>
                <w:color w:val="000000"/>
                <w:kern w:val="0"/>
                <w:sz w:val="28"/>
                <w:szCs w:val="28"/>
              </w:rPr>
              <w:t>620唐山市供销合作总社</w:t>
            </w:r>
          </w:p>
        </w:tc>
        <w:tc>
          <w:tcPr>
            <w:tcW w:w="5274" w:type="dxa"/>
            <w:gridSpan w:val="5"/>
            <w:tcBorders>
              <w:top w:val="nil"/>
              <w:left w:val="nil"/>
              <w:bottom w:val="single" w:color="auto" w:sz="4" w:space="0"/>
              <w:right w:val="nil"/>
            </w:tcBorders>
            <w:shd w:val="clear" w:color="auto" w:fill="auto"/>
            <w:noWrap/>
            <w:vAlign w:val="bottom"/>
          </w:tcPr>
          <w:p>
            <w:pPr>
              <w:widowControl/>
              <w:jc w:val="right"/>
              <w:rPr>
                <w:rFonts w:ascii="宋体" w:hAnsi="宋体" w:cs="宋体"/>
                <w:color w:val="000000"/>
                <w:kern w:val="0"/>
                <w:sz w:val="28"/>
                <w:szCs w:val="28"/>
              </w:rPr>
            </w:pPr>
            <w:r>
              <w:rPr>
                <w:rFonts w:hint="eastAsia" w:ascii="宋体" w:hAnsi="宋体" w:cs="宋体"/>
                <w:color w:val="000000"/>
                <w:kern w:val="0"/>
                <w:sz w:val="28"/>
                <w:szCs w:val="28"/>
              </w:rPr>
              <w:t>单位：万元</w:t>
            </w:r>
          </w:p>
        </w:tc>
      </w:tr>
      <w:tr>
        <w:tblPrEx>
          <w:tblCellMar>
            <w:top w:w="0" w:type="dxa"/>
            <w:left w:w="108" w:type="dxa"/>
            <w:bottom w:w="0" w:type="dxa"/>
            <w:right w:w="108" w:type="dxa"/>
          </w:tblCellMar>
        </w:tblPrEx>
        <w:trPr>
          <w:cantSplit/>
          <w:trHeight w:val="278" w:hRule="atLeast"/>
          <w:tblHeader/>
        </w:trPr>
        <w:tc>
          <w:tcPr>
            <w:tcW w:w="285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单位名称</w:t>
            </w:r>
          </w:p>
        </w:tc>
        <w:tc>
          <w:tcPr>
            <w:tcW w:w="340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项目名称</w:t>
            </w:r>
          </w:p>
        </w:tc>
        <w:tc>
          <w:tcPr>
            <w:tcW w:w="7812" w:type="dxa"/>
            <w:gridSpan w:val="7"/>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经 费 来 源</w:t>
            </w:r>
          </w:p>
        </w:tc>
      </w:tr>
      <w:tr>
        <w:tblPrEx>
          <w:tblCellMar>
            <w:top w:w="0" w:type="dxa"/>
            <w:left w:w="108" w:type="dxa"/>
            <w:bottom w:w="0" w:type="dxa"/>
            <w:right w:w="108" w:type="dxa"/>
          </w:tblCellMar>
        </w:tblPrEx>
        <w:trPr>
          <w:cantSplit/>
          <w:trHeight w:val="321" w:hRule="atLeast"/>
          <w:tblHeader/>
        </w:trPr>
        <w:tc>
          <w:tcPr>
            <w:tcW w:w="285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p>
        </w:tc>
        <w:tc>
          <w:tcPr>
            <w:tcW w:w="340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p>
        </w:tc>
        <w:tc>
          <w:tcPr>
            <w:tcW w:w="141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合计</w:t>
            </w:r>
          </w:p>
        </w:tc>
        <w:tc>
          <w:tcPr>
            <w:tcW w:w="1276"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一般公共预算拨款安排</w:t>
            </w:r>
          </w:p>
        </w:tc>
        <w:tc>
          <w:tcPr>
            <w:tcW w:w="141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政府性基金预算拨款安排</w:t>
            </w:r>
          </w:p>
        </w:tc>
        <w:tc>
          <w:tcPr>
            <w:tcW w:w="141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国有资本经营预算拨款安排</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其他来源收入安排</w:t>
            </w:r>
          </w:p>
        </w:tc>
        <w:tc>
          <w:tcPr>
            <w:tcW w:w="114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高中及其以上教育收费</w:t>
            </w:r>
          </w:p>
        </w:tc>
      </w:tr>
      <w:tr>
        <w:tblPrEx>
          <w:tblCellMar>
            <w:top w:w="0" w:type="dxa"/>
            <w:left w:w="108" w:type="dxa"/>
            <w:bottom w:w="0" w:type="dxa"/>
            <w:right w:w="108" w:type="dxa"/>
          </w:tblCellMar>
        </w:tblPrEx>
        <w:trPr>
          <w:cantSplit/>
          <w:trHeight w:val="321" w:hRule="atLeast"/>
          <w:tblHeader/>
        </w:trPr>
        <w:tc>
          <w:tcPr>
            <w:tcW w:w="285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340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27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149"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r>
      <w:tr>
        <w:tblPrEx>
          <w:tblCellMar>
            <w:top w:w="0" w:type="dxa"/>
            <w:left w:w="108" w:type="dxa"/>
            <w:bottom w:w="0" w:type="dxa"/>
            <w:right w:w="108" w:type="dxa"/>
          </w:tblCellMar>
        </w:tblPrEx>
        <w:trPr>
          <w:cantSplit/>
          <w:trHeight w:val="321" w:hRule="atLeast"/>
          <w:tblHeader/>
        </w:trPr>
        <w:tc>
          <w:tcPr>
            <w:tcW w:w="28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34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1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1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21" w:hRule="atLeast"/>
        </w:trPr>
        <w:tc>
          <w:tcPr>
            <w:tcW w:w="2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唐山市供销合作总社</w:t>
            </w:r>
          </w:p>
        </w:tc>
        <w:tc>
          <w:tcPr>
            <w:tcW w:w="34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农村产权流转交易中心运营经费</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50.00</w:t>
            </w:r>
          </w:p>
        </w:tc>
        <w:tc>
          <w:tcPr>
            <w:tcW w:w="127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50.00</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1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21" w:hRule="atLeast"/>
        </w:trPr>
        <w:tc>
          <w:tcPr>
            <w:tcW w:w="2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 xml:space="preserve">  合计</w:t>
            </w:r>
          </w:p>
        </w:tc>
        <w:tc>
          <w:tcPr>
            <w:tcW w:w="34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50.00</w:t>
            </w:r>
          </w:p>
        </w:tc>
        <w:tc>
          <w:tcPr>
            <w:tcW w:w="127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50.00</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1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bl>
    <w:p>
      <w:pPr>
        <w:spacing w:line="0" w:lineRule="atLeast"/>
      </w:pPr>
    </w:p>
    <w:p>
      <w:pPr>
        <w:jc w:val="left"/>
        <w:rPr>
          <w:rFonts w:ascii="仿宋" w:hAnsi="仿宋" w:eastAsia="仿宋"/>
          <w:color w:val="000000"/>
          <w:sz w:val="28"/>
        </w:rPr>
        <w:sectPr>
          <w:headerReference r:id="rId14" w:type="default"/>
          <w:pgSz w:w="16838" w:h="11906" w:orient="landscape"/>
          <w:pgMar w:top="1800" w:right="1440" w:bottom="1800" w:left="1440" w:header="851" w:footer="992" w:gutter="0"/>
          <w:cols w:space="425" w:num="1"/>
          <w:docGrid w:type="lines" w:linePitch="312" w:charSpace="0"/>
        </w:sectPr>
      </w:pPr>
    </w:p>
    <w:p>
      <w:pPr>
        <w:jc w:val="left"/>
        <w:rPr>
          <w:rFonts w:ascii="宋体" w:hAnsi="宋体" w:eastAsia="宋体"/>
          <w:b/>
          <w:color w:val="000000"/>
          <w:sz w:val="44"/>
        </w:rPr>
      </w:pPr>
    </w:p>
    <w:p>
      <w:pPr>
        <w:jc w:val="left"/>
        <w:rPr>
          <w:rFonts w:ascii="宋体" w:hAnsi="宋体" w:eastAsia="宋体"/>
          <w:b/>
          <w:color w:val="000000"/>
          <w:sz w:val="44"/>
        </w:rPr>
      </w:pPr>
    </w:p>
    <w:p>
      <w:pPr>
        <w:jc w:val="left"/>
        <w:rPr>
          <w:rFonts w:ascii="宋体" w:hAnsi="宋体" w:eastAsia="宋体"/>
          <w:b/>
          <w:color w:val="000000"/>
          <w:sz w:val="44"/>
        </w:rPr>
      </w:pPr>
    </w:p>
    <w:p>
      <w:pPr>
        <w:jc w:val="left"/>
        <w:rPr>
          <w:rFonts w:ascii="宋体" w:hAnsi="宋体" w:eastAsia="宋体"/>
          <w:b/>
          <w:color w:val="000000"/>
          <w:sz w:val="44"/>
        </w:rPr>
      </w:pPr>
    </w:p>
    <w:p>
      <w:pPr>
        <w:pStyle w:val="2"/>
        <w:jc w:val="center"/>
        <w:sectPr>
          <w:pgSz w:w="11906" w:h="16838"/>
          <w:pgMar w:top="1440" w:right="1800" w:bottom="1440" w:left="1800" w:header="851" w:footer="992" w:gutter="0"/>
          <w:cols w:space="425" w:num="1"/>
          <w:docGrid w:type="lines" w:linePitch="312" w:charSpace="0"/>
        </w:sectPr>
      </w:pPr>
      <w:bookmarkStart w:id="13" w:name="_Toc91779131"/>
      <w:r>
        <w:t>一、唐山市供销合作总社收支预算安排</w:t>
      </w:r>
      <w:bookmarkEnd w:id="13"/>
    </w:p>
    <w:p>
      <w:pPr>
        <w:jc w:val="center"/>
        <w:rPr>
          <w:rFonts w:hint="eastAsia" w:ascii="宋体" w:hAnsi="宋体" w:eastAsia="宋体"/>
          <w:b/>
          <w:color w:val="000000"/>
          <w:sz w:val="44"/>
        </w:rPr>
      </w:pPr>
      <w:r>
        <w:rPr>
          <w:rFonts w:hint="eastAsia" w:ascii="宋体" w:hAnsi="宋体" w:eastAsia="宋体"/>
          <w:b/>
          <w:color w:val="000000"/>
          <w:sz w:val="44"/>
        </w:rPr>
        <w:t>唐山市供销合作总社职责任务与目标</w:t>
      </w:r>
    </w:p>
    <w:p>
      <w:pPr>
        <w:spacing w:line="480" w:lineRule="auto"/>
        <w:jc w:val="left"/>
        <w:rPr>
          <w:rFonts w:ascii="宋体" w:hAnsi="宋体" w:eastAsia="宋体"/>
          <w:b/>
          <w:color w:val="000000"/>
          <w:sz w:val="28"/>
        </w:rPr>
      </w:pPr>
      <w:r>
        <w:rPr>
          <w:rFonts w:ascii="宋体" w:hAnsi="宋体" w:eastAsia="宋体"/>
          <w:b/>
          <w:color w:val="000000"/>
          <w:sz w:val="28"/>
        </w:rPr>
        <w:t>一、主要职责</w:t>
      </w:r>
    </w:p>
    <w:p>
      <w:pPr>
        <w:spacing w:line="360" w:lineRule="auto"/>
        <w:ind w:firstLine="420" w:firstLineChars="200"/>
        <w:rPr>
          <w:rFonts w:hint="eastAsia"/>
        </w:rPr>
      </w:pPr>
      <w:r>
        <w:rPr>
          <w:rFonts w:hint="eastAsia"/>
        </w:rPr>
        <w:t>新型供销合作社在承担原有供销合作社职能的基础上，履行公益性和经营性职能。</w:t>
      </w:r>
    </w:p>
    <w:p>
      <w:pPr>
        <w:spacing w:line="360" w:lineRule="auto"/>
        <w:ind w:firstLine="420" w:firstLineChars="200"/>
        <w:rPr>
          <w:rFonts w:hint="eastAsia"/>
        </w:rPr>
      </w:pPr>
      <w:r>
        <w:rPr>
          <w:rFonts w:hint="eastAsia"/>
        </w:rPr>
        <w:t>1、负责制定并组织实施供销合作社、农民合作组织及相关行业协会发展规划；领办创办农民合作组织和相关行业协会，给予指导、扶持和服务，做好相关政策的执行和财政支持资金的落实、管理和使用；</w:t>
      </w:r>
    </w:p>
    <w:p>
      <w:pPr>
        <w:spacing w:line="360" w:lineRule="auto"/>
        <w:ind w:firstLine="420" w:firstLineChars="200"/>
        <w:rPr>
          <w:rFonts w:hint="eastAsia"/>
        </w:rPr>
      </w:pPr>
      <w:r>
        <w:rPr>
          <w:rFonts w:hint="eastAsia"/>
        </w:rPr>
        <w:t>2、做好供销合作社合作发展基金的规划、设立、管理和使用；承担相关涉农政策和项目，承担公益性服务，承担政府向社会购买的公共服务；</w:t>
      </w:r>
    </w:p>
    <w:p>
      <w:pPr>
        <w:spacing w:line="360" w:lineRule="auto"/>
        <w:ind w:firstLine="420" w:firstLineChars="200"/>
        <w:rPr>
          <w:rFonts w:hint="eastAsia"/>
        </w:rPr>
      </w:pPr>
      <w:r>
        <w:rPr>
          <w:rFonts w:hint="eastAsia"/>
        </w:rPr>
        <w:t>3、在新的法律法规和相关政策公布之前，做好流通领域食盐行政管理和专营，做好烟花爆竹批发、零售网络经营的监督管理；承担盐业、棉花、化肥、农药、抗灾应急物资等国家储备任务，参与大宗农产品政策性收储；</w:t>
      </w:r>
    </w:p>
    <w:p>
      <w:pPr>
        <w:spacing w:line="360" w:lineRule="auto"/>
        <w:ind w:firstLine="420" w:firstLineChars="200"/>
        <w:rPr>
          <w:rFonts w:hint="eastAsia"/>
        </w:rPr>
      </w:pPr>
      <w:r>
        <w:rPr>
          <w:rFonts w:hint="eastAsia"/>
        </w:rPr>
        <w:t>4、按照政府及相关部门授权或委托，做好再生资源回收利用的管理；会同有关部门制定并组织实施农产品批发市场、再生资源回收市场的发展规划，做好公益性市场建设、运营、管护；</w:t>
      </w:r>
    </w:p>
    <w:p>
      <w:pPr>
        <w:spacing w:line="360" w:lineRule="auto"/>
        <w:ind w:firstLine="420" w:firstLineChars="200"/>
        <w:rPr>
          <w:rFonts w:hint="eastAsia"/>
        </w:rPr>
      </w:pPr>
      <w:r>
        <w:rPr>
          <w:rFonts w:hint="eastAsia"/>
        </w:rPr>
        <w:t>5、做好社有资产、企业的运营管理，对出资企业行使出资人职能，做好系统财产安全统筹管理；</w:t>
      </w:r>
    </w:p>
    <w:p>
      <w:pPr>
        <w:spacing w:line="360" w:lineRule="auto"/>
        <w:ind w:firstLine="420" w:firstLineChars="200"/>
        <w:rPr>
          <w:rFonts w:hint="eastAsia"/>
        </w:rPr>
      </w:pPr>
      <w:r>
        <w:rPr>
          <w:rFonts w:hint="eastAsia"/>
        </w:rPr>
        <w:t>6、发展农业生产资料、农副产品、日用消费品、再生资源回收利用等经营服务网络体系；</w:t>
      </w:r>
    </w:p>
    <w:p>
      <w:pPr>
        <w:spacing w:line="360" w:lineRule="auto"/>
        <w:ind w:firstLine="420" w:firstLineChars="200"/>
        <w:rPr>
          <w:rFonts w:hint="eastAsia"/>
        </w:rPr>
      </w:pPr>
      <w:r>
        <w:rPr>
          <w:rFonts w:hint="eastAsia"/>
        </w:rPr>
        <w:t>7、发展为各类农业经营主体和广大农民群众生产生活提供全方位、全过程、系列化、社会化服务的综合服务平台；</w:t>
      </w:r>
    </w:p>
    <w:p>
      <w:pPr>
        <w:spacing w:line="360" w:lineRule="auto"/>
        <w:ind w:firstLine="420" w:firstLineChars="200"/>
        <w:rPr>
          <w:rFonts w:hint="eastAsia"/>
        </w:rPr>
      </w:pPr>
      <w:r>
        <w:rPr>
          <w:rFonts w:hint="eastAsia"/>
        </w:rPr>
        <w:t>8、开展农民职业技能培训和农村劳动力转移职业介绍服务；</w:t>
      </w:r>
    </w:p>
    <w:p>
      <w:pPr>
        <w:spacing w:line="360" w:lineRule="auto"/>
        <w:ind w:firstLine="420" w:firstLineChars="200"/>
        <w:rPr>
          <w:rFonts w:hint="eastAsia"/>
        </w:rPr>
      </w:pPr>
      <w:r>
        <w:rPr>
          <w:rFonts w:hint="eastAsia"/>
        </w:rPr>
        <w:t>9、开展农村产权交易、中小型银行、小额贷款、融资租赁、融资担保、资金互助、合作保险等服务；</w:t>
      </w:r>
    </w:p>
    <w:p>
      <w:pPr>
        <w:spacing w:line="360" w:lineRule="auto"/>
        <w:ind w:firstLine="420" w:firstLineChars="200"/>
        <w:rPr>
          <w:rFonts w:hint="eastAsia"/>
        </w:rPr>
      </w:pPr>
      <w:r>
        <w:rPr>
          <w:rFonts w:hint="eastAsia"/>
        </w:rPr>
        <w:t>10、承担政府赋予的其他职能和工作任务。</w:t>
      </w:r>
    </w:p>
    <w:p>
      <w:pPr>
        <w:spacing w:line="360" w:lineRule="auto"/>
        <w:ind w:firstLine="420" w:firstLineChars="200"/>
      </w:pPr>
    </w:p>
    <w:p>
      <w:pPr>
        <w:spacing w:line="480" w:lineRule="auto"/>
        <w:jc w:val="left"/>
        <w:rPr>
          <w:rFonts w:ascii="宋体" w:hAnsi="宋体" w:eastAsia="宋体"/>
          <w:b/>
          <w:color w:val="000000"/>
          <w:sz w:val="28"/>
        </w:rPr>
      </w:pPr>
      <w:r>
        <w:rPr>
          <w:rFonts w:ascii="宋体" w:hAnsi="宋体" w:eastAsia="宋体"/>
          <w:b/>
          <w:color w:val="000000"/>
          <w:sz w:val="28"/>
        </w:rPr>
        <w:t>二、主要任务及目标规划</w:t>
      </w:r>
    </w:p>
    <w:p>
      <w:pPr>
        <w:spacing w:line="720" w:lineRule="exact"/>
        <w:jc w:val="center"/>
        <w:rPr>
          <w:rFonts w:hint="eastAsia" w:ascii="宋体" w:hAnsi="宋体"/>
          <w:szCs w:val="21"/>
        </w:rPr>
      </w:pPr>
      <w:r>
        <w:rPr>
          <w:rFonts w:hint="eastAsia" w:ascii="宋体" w:hAnsi="宋体"/>
          <w:szCs w:val="21"/>
        </w:rPr>
        <w:t>唐山市供销合作总社</w:t>
      </w:r>
    </w:p>
    <w:p>
      <w:pPr>
        <w:spacing w:line="720" w:lineRule="exact"/>
        <w:jc w:val="center"/>
        <w:rPr>
          <w:rFonts w:hint="eastAsia" w:ascii="宋体" w:hAnsi="宋体"/>
          <w:szCs w:val="21"/>
        </w:rPr>
      </w:pPr>
      <w:r>
        <w:rPr>
          <w:rFonts w:hint="eastAsia" w:ascii="宋体" w:hAnsi="宋体"/>
          <w:szCs w:val="21"/>
        </w:rPr>
        <w:t>主要任务及目标规划</w:t>
      </w:r>
    </w:p>
    <w:p>
      <w:pPr>
        <w:pStyle w:val="3"/>
        <w:rPr>
          <w:rFonts w:hint="eastAsia" w:hAnsi="宋体" w:cs="宋体"/>
        </w:rPr>
      </w:pPr>
    </w:p>
    <w:p>
      <w:pPr>
        <w:spacing w:line="520" w:lineRule="exact"/>
        <w:ind w:firstLine="420" w:firstLineChars="200"/>
        <w:rPr>
          <w:rFonts w:hint="eastAsia" w:ascii="宋体" w:hAnsi="宋体" w:cs="仿宋_GB2312"/>
          <w:szCs w:val="21"/>
        </w:rPr>
      </w:pPr>
      <w:r>
        <w:rPr>
          <w:rFonts w:hint="eastAsia" w:ascii="宋体" w:hAnsi="宋体" w:cs="仿宋_GB2312"/>
          <w:szCs w:val="21"/>
        </w:rPr>
        <w:t>在市委、市政府的坚强领导下，市</w:t>
      </w:r>
      <w:r>
        <w:rPr>
          <w:rFonts w:ascii="宋体" w:hAnsi="宋体" w:cs="仿宋_GB2312"/>
          <w:szCs w:val="21"/>
        </w:rPr>
        <w:t>供销社</w:t>
      </w:r>
      <w:r>
        <w:rPr>
          <w:rFonts w:hint="eastAsia" w:ascii="宋体" w:hAnsi="宋体" w:cs="仿宋_GB2312"/>
          <w:szCs w:val="21"/>
        </w:rPr>
        <w:t>坚持以习近平新时代中国特色社会主义思想为指导，深入贯彻习近平总书记对供销合作社工作的重要指示精神，全面落实市委、市政府和上级社决策部署，统筹疫情防控和系统改革发展，聚焦为农服务主责主业，持续深化综合改革，积极为服务乡村振兴贡献供销力量，打造为农服务的综合平台。</w:t>
      </w:r>
    </w:p>
    <w:p>
      <w:pPr>
        <w:shd w:val="clear" w:color="auto" w:fill="FFFFFF"/>
        <w:snapToGrid w:val="0"/>
        <w:spacing w:line="520" w:lineRule="exact"/>
        <w:ind w:firstLine="420" w:firstLineChars="200"/>
        <w:rPr>
          <w:rFonts w:hint="eastAsia" w:ascii="宋体" w:hAnsi="宋体" w:cs="黑体"/>
          <w:szCs w:val="21"/>
        </w:rPr>
      </w:pPr>
      <w:r>
        <w:rPr>
          <w:rFonts w:hint="eastAsia" w:ascii="宋体" w:hAnsi="宋体" w:cs="黑体"/>
          <w:szCs w:val="21"/>
        </w:rPr>
        <w:t>一、服务乡村振兴，落实三方协议精神，协调推进中国供销集团合作项目</w:t>
      </w:r>
    </w:p>
    <w:p>
      <w:pPr>
        <w:spacing w:line="520" w:lineRule="exact"/>
        <w:ind w:firstLine="420" w:firstLineChars="200"/>
        <w:rPr>
          <w:rFonts w:hint="eastAsia" w:ascii="宋体" w:hAnsi="宋体"/>
          <w:szCs w:val="21"/>
        </w:rPr>
      </w:pPr>
      <w:r>
        <w:rPr>
          <w:rFonts w:hint="eastAsia" w:ascii="宋体" w:hAnsi="宋体"/>
          <w:szCs w:val="21"/>
        </w:rPr>
        <w:t>市政府与中国供销集团、河北省供销社签署战略合作框架协议。在市委市政府的领导下，市供销社按照合作协议内容，积极主动</w:t>
      </w:r>
      <w:r>
        <w:rPr>
          <w:rFonts w:ascii="宋体" w:hAnsi="宋体"/>
          <w:szCs w:val="21"/>
        </w:rPr>
        <w:t>对接</w:t>
      </w:r>
      <w:r>
        <w:rPr>
          <w:rFonts w:hint="eastAsia" w:ascii="宋体" w:hAnsi="宋体"/>
          <w:szCs w:val="21"/>
        </w:rPr>
        <w:t>服务</w:t>
      </w:r>
      <w:r>
        <w:rPr>
          <w:rFonts w:ascii="宋体" w:hAnsi="宋体"/>
          <w:szCs w:val="21"/>
        </w:rPr>
        <w:t>，</w:t>
      </w:r>
      <w:r>
        <w:rPr>
          <w:rFonts w:hint="eastAsia" w:ascii="宋体" w:hAnsi="宋体"/>
          <w:szCs w:val="21"/>
        </w:rPr>
        <w:t>多次协调中国供销集团和相关属地政府，深入实地调研，</w:t>
      </w:r>
      <w:r>
        <w:rPr>
          <w:rFonts w:ascii="宋体" w:hAnsi="宋体"/>
          <w:szCs w:val="21"/>
        </w:rPr>
        <w:t>全力推进落地</w:t>
      </w:r>
      <w:r>
        <w:rPr>
          <w:rFonts w:hint="eastAsia" w:ascii="宋体" w:hAnsi="宋体"/>
          <w:szCs w:val="21"/>
        </w:rPr>
        <w:t>。</w:t>
      </w:r>
      <w:r>
        <w:rPr>
          <w:rFonts w:hint="eastAsia" w:ascii="宋体" w:hAnsi="宋体"/>
          <w:b/>
          <w:szCs w:val="21"/>
        </w:rPr>
        <w:t>一是提高认识，用落实项目助力乡村振兴。</w:t>
      </w:r>
      <w:r>
        <w:rPr>
          <w:rFonts w:hint="eastAsia" w:ascii="宋体" w:hAnsi="宋体"/>
          <w:szCs w:val="21"/>
        </w:rPr>
        <w:t>全市供销社系统提高思想认识，站在讲政治、讲大局的高度，对合作项目进行</w:t>
      </w:r>
      <w:r>
        <w:rPr>
          <w:rFonts w:hint="eastAsia" w:ascii="宋体" w:hAnsi="宋体" w:cs="仿宋_GB2312"/>
          <w:szCs w:val="21"/>
        </w:rPr>
        <w:t>认真研究、评估、分析，积极探索</w:t>
      </w:r>
      <w:r>
        <w:rPr>
          <w:rFonts w:hint="eastAsia" w:ascii="宋体" w:hAnsi="宋体"/>
          <w:szCs w:val="21"/>
        </w:rPr>
        <w:t>依托中国供销集团雄厚实力，完善农业社会化服务体系，健全农产品流通网络，着力促进农民富裕富足、农业高质高效、乡村宜居宜业。</w:t>
      </w:r>
      <w:r>
        <w:rPr>
          <w:rFonts w:hint="eastAsia" w:ascii="宋体" w:hAnsi="宋体"/>
          <w:b/>
          <w:szCs w:val="21"/>
        </w:rPr>
        <w:t>二是主动对接，以落实项目推动乡村振兴。</w:t>
      </w:r>
      <w:r>
        <w:rPr>
          <w:rFonts w:hint="eastAsia" w:ascii="宋体" w:hAnsi="宋体"/>
          <w:szCs w:val="21"/>
        </w:rPr>
        <w:t>市供销社协调相关县（市、区），把落实合作项目作为推动全市乡村振兴的有力抓手，快速启动，不等不靠，确保尽早落地见效。目前，部分合作项目已</w:t>
      </w:r>
      <w:r>
        <w:rPr>
          <w:rFonts w:ascii="宋体" w:hAnsi="宋体"/>
          <w:szCs w:val="21"/>
        </w:rPr>
        <w:t>取得实质性进展</w:t>
      </w:r>
      <w:r>
        <w:rPr>
          <w:rFonts w:hint="eastAsia" w:ascii="宋体" w:hAnsi="宋体"/>
          <w:szCs w:val="21"/>
        </w:rPr>
        <w:t>。主要有：1.玉田县“中再生—汽车拆解项目”，已完成基础设施建设，正在进行设备采购和人员培训，明年投入生产；2.遵化市“中农批—京东（遵化）农产品智慧物流园项目”，土地已摘牌，年底前开工建设。3.丰润区“中再生—供销环境城乡环境服务项目”，相关人员已进驻唐山，正在开展尽职调查，在丰润区开展垃圾分类、社区物业管理、再生资源回收体系建设。4.曹妃甸“河北自贸区大宗产品交易中心”已正式开业，对自贸区发展起到了引领带动作用，促进了京津冀金融板块发展。“中再生—废钢回收业务项目”等其他项目也在积极推进中。</w:t>
      </w:r>
      <w:r>
        <w:rPr>
          <w:rFonts w:hint="eastAsia" w:ascii="宋体" w:hAnsi="宋体"/>
          <w:b/>
          <w:szCs w:val="21"/>
        </w:rPr>
        <w:t>三是细化分工，以落实项目提速乡村振兴。</w:t>
      </w:r>
      <w:r>
        <w:rPr>
          <w:rFonts w:hint="eastAsia" w:ascii="宋体" w:hAnsi="宋体"/>
          <w:szCs w:val="21"/>
        </w:rPr>
        <w:t>市供销社发挥承上启下、服务对接作用，</w:t>
      </w:r>
      <w:r>
        <w:rPr>
          <w:rFonts w:ascii="宋体" w:hAnsi="宋体"/>
          <w:szCs w:val="21"/>
        </w:rPr>
        <w:t>各项合作顺畅对接、快速推进</w:t>
      </w:r>
      <w:r>
        <w:rPr>
          <w:rFonts w:hint="eastAsia" w:ascii="宋体" w:hAnsi="宋体"/>
          <w:szCs w:val="21"/>
        </w:rPr>
        <w:t>。积极配合、协调项目所在地县（市、区）发挥属地作用，</w:t>
      </w:r>
      <w:r>
        <w:rPr>
          <w:rFonts w:ascii="宋体" w:hAnsi="宋体"/>
          <w:szCs w:val="21"/>
        </w:rPr>
        <w:t>建立</w:t>
      </w:r>
      <w:r>
        <w:rPr>
          <w:rFonts w:hint="eastAsia" w:ascii="宋体" w:hAnsi="宋体"/>
          <w:szCs w:val="21"/>
        </w:rPr>
        <w:t>“五个一”工作机制，推动项目落实落地见效。10月15日，市供销社与中国供销集团、丰润区政府在京签署框架协议，共同打造城乡环境服务、社区综合服务、“京津冀”优质高端农产品供应保障基地、创建农产品品牌增值和流通渠道4个综合性项目，打造合作共建的典范样板。</w:t>
      </w:r>
    </w:p>
    <w:p>
      <w:pPr>
        <w:shd w:val="clear" w:color="auto" w:fill="FFFFFF"/>
        <w:snapToGrid w:val="0"/>
        <w:spacing w:line="520" w:lineRule="exact"/>
        <w:ind w:firstLine="420" w:firstLineChars="200"/>
        <w:rPr>
          <w:rFonts w:hint="eastAsia" w:ascii="宋体" w:hAnsi="宋体" w:cs="黑体"/>
          <w:szCs w:val="21"/>
        </w:rPr>
      </w:pPr>
      <w:r>
        <w:rPr>
          <w:rFonts w:hint="eastAsia" w:ascii="宋体" w:hAnsi="宋体" w:cs="黑体"/>
          <w:szCs w:val="21"/>
        </w:rPr>
        <w:t>二、坚持“为农”初心，推进基层社改革，密切与农民的利益联结</w:t>
      </w:r>
    </w:p>
    <w:p>
      <w:pPr>
        <w:spacing w:line="520" w:lineRule="exact"/>
        <w:ind w:firstLine="420" w:firstLineChars="200"/>
        <w:rPr>
          <w:rFonts w:hint="eastAsia" w:ascii="宋体" w:hAnsi="宋体"/>
          <w:szCs w:val="21"/>
        </w:rPr>
      </w:pPr>
      <w:r>
        <w:rPr>
          <w:rFonts w:hint="eastAsia" w:ascii="宋体" w:hAnsi="宋体"/>
          <w:szCs w:val="21"/>
        </w:rPr>
        <w:t>坚持不懈抓基层、打基础，全面提升基层组织发展质量，推动基层社扩面、提质、增效。</w:t>
      </w:r>
      <w:r>
        <w:rPr>
          <w:rFonts w:hint="eastAsia" w:ascii="宋体" w:hAnsi="宋体"/>
          <w:b/>
          <w:szCs w:val="21"/>
        </w:rPr>
        <w:t>一是基层组织建设持续加强。</w:t>
      </w:r>
      <w:r>
        <w:rPr>
          <w:rFonts w:hint="eastAsia" w:ascii="宋体" w:hAnsi="宋体" w:cs="方正小标宋简体"/>
          <w:szCs w:val="21"/>
        </w:rPr>
        <w:t>多种形式分类改造和恢复重建基层社，因地制宜地建设了272个乡镇级、村级基层供销社，其中乡镇级基层社覆盖率达到了100%，发展基层社社员69256人。已培育8个全国供销合作社系统百强县级社、26个基层社标杆社，数量居全省之首。</w:t>
      </w:r>
      <w:r>
        <w:rPr>
          <w:rFonts w:hint="eastAsia" w:ascii="宋体" w:hAnsi="宋体"/>
          <w:b/>
          <w:szCs w:val="21"/>
        </w:rPr>
        <w:t>二是提高基层社发展质量。</w:t>
      </w:r>
      <w:r>
        <w:rPr>
          <w:rFonts w:hint="eastAsia" w:ascii="宋体" w:hAnsi="宋体" w:cs="方正小标宋简体"/>
          <w:szCs w:val="21"/>
        </w:rPr>
        <w:t>通过劳动合作、资本合作、土地合作等途径，推进基层社改造提升，增强经济实力，提升服务功能。改造完成20家薄弱基层社。</w:t>
      </w:r>
      <w:r>
        <w:rPr>
          <w:rFonts w:hint="eastAsia" w:ascii="宋体" w:hAnsi="宋体"/>
          <w:b/>
          <w:szCs w:val="21"/>
        </w:rPr>
        <w:t>三是积极领办创办农民合作社。</w:t>
      </w:r>
      <w:r>
        <w:rPr>
          <w:rFonts w:hint="eastAsia" w:ascii="宋体" w:hAnsi="宋体"/>
          <w:szCs w:val="21"/>
        </w:rPr>
        <w:t>发展农民专业</w:t>
      </w:r>
      <w:r>
        <w:rPr>
          <w:rFonts w:hint="eastAsia" w:ascii="宋体" w:hAnsi="宋体" w:cs="方正小标宋简体"/>
          <w:szCs w:val="21"/>
        </w:rPr>
        <w:t>合作社</w:t>
      </w:r>
      <w:r>
        <w:rPr>
          <w:rFonts w:hint="eastAsia" w:ascii="宋体" w:hAnsi="宋体"/>
          <w:szCs w:val="21"/>
        </w:rPr>
        <w:t>4</w:t>
      </w:r>
      <w:r>
        <w:rPr>
          <w:rFonts w:hint="eastAsia" w:ascii="宋体" w:hAnsi="宋体" w:cs="方正小标宋简体"/>
          <w:szCs w:val="21"/>
        </w:rPr>
        <w:t>032个,发培育总社</w:t>
      </w:r>
      <w:r>
        <w:rPr>
          <w:rFonts w:ascii="宋体" w:hAnsi="宋体" w:cs="方正小标宋简体"/>
          <w:szCs w:val="21"/>
        </w:rPr>
        <w:t>农民专业合作社示范社</w:t>
      </w:r>
      <w:r>
        <w:rPr>
          <w:rFonts w:hint="eastAsia" w:ascii="宋体" w:hAnsi="宋体" w:cs="方正小标宋简体"/>
          <w:szCs w:val="21"/>
        </w:rPr>
        <w:t>8个、省社示范社18个。</w:t>
      </w:r>
    </w:p>
    <w:p>
      <w:pPr>
        <w:spacing w:line="520" w:lineRule="exact"/>
        <w:ind w:firstLine="422" w:firstLineChars="201"/>
        <w:rPr>
          <w:rFonts w:hint="eastAsia" w:ascii="宋体" w:hAnsi="宋体" w:cs="黑体"/>
          <w:szCs w:val="21"/>
        </w:rPr>
      </w:pPr>
      <w:r>
        <w:rPr>
          <w:rFonts w:hint="eastAsia" w:ascii="宋体" w:hAnsi="宋体" w:cs="黑体"/>
          <w:szCs w:val="21"/>
        </w:rPr>
        <w:t>三、把握“姓农”原则，推进农业社会化服务机制改革，提升农业全产业链服务能力</w:t>
      </w:r>
    </w:p>
    <w:p>
      <w:pPr>
        <w:spacing w:line="520" w:lineRule="exact"/>
        <w:ind w:firstLine="420" w:firstLineChars="200"/>
        <w:rPr>
          <w:rFonts w:hint="eastAsia" w:ascii="宋体" w:hAnsi="宋体"/>
          <w:b/>
          <w:szCs w:val="21"/>
        </w:rPr>
      </w:pPr>
      <w:r>
        <w:rPr>
          <w:rFonts w:hint="eastAsia" w:ascii="宋体" w:hAnsi="宋体" w:cs="方正小标宋简体"/>
          <w:szCs w:val="21"/>
        </w:rPr>
        <w:t>坚决贯彻市委市政府关于抓好农业生产的决策部署，加强市、县、乡供销合作社联动和资源统筹，扎实推进农业社会化服务体系建设。</w:t>
      </w:r>
      <w:r>
        <w:rPr>
          <w:rFonts w:hint="eastAsia" w:ascii="宋体" w:hAnsi="宋体"/>
          <w:b/>
          <w:szCs w:val="21"/>
        </w:rPr>
        <w:t>一是深入实施农业社会化服务惠农工程。</w:t>
      </w:r>
      <w:r>
        <w:rPr>
          <w:rFonts w:hint="eastAsia" w:ascii="宋体" w:hAnsi="宋体" w:cs="方正小标宋简体"/>
          <w:szCs w:val="21"/>
        </w:rPr>
        <w:t>出台《为农服务综合平台建设工作方案》和《关于加强农业科技社会化服务体系建设工作方案》，打造生产、服务、公益为一体的为农服务体系，发展农村综合服务社6160个。积极开展总社农村综合服务社星级社创建活动，培育161个星级农村综合服务社。积极融入省社农村（社区）综合服务中心体系建设，以滦州、迁安为试点建设农村社区综合服务中心，截止目前正式运营县级信息大厅2个、乡镇级综合服务中心2个、村级服务站131个,准备与曹妃甸、遵化、丰润、古冶进行签约。</w:t>
      </w:r>
      <w:r>
        <w:rPr>
          <w:rFonts w:hint="eastAsia" w:ascii="宋体" w:hAnsi="宋体"/>
          <w:b/>
          <w:szCs w:val="21"/>
        </w:rPr>
        <w:t>二是提高农村产权流转交易水平。</w:t>
      </w:r>
      <w:r>
        <w:rPr>
          <w:rFonts w:hint="eastAsia" w:ascii="宋体" w:hAnsi="宋体"/>
          <w:szCs w:val="21"/>
        </w:rPr>
        <w:t>发挥上下体系优势，深耕细作业务交易品种，努力提升服务质量和水平。全市建立标准化乡镇服务站163个，完成率92%，村级服务站点4701个，完成率87%，完成省达目标。截至目前，已办理各类农村产权交易鉴证业务490宗，交易金额6.5亿元，涉及流转土地6.2万亩，与去年同期相比，业务指标增长300%。</w:t>
      </w:r>
      <w:r>
        <w:rPr>
          <w:rFonts w:hint="eastAsia" w:ascii="宋体" w:hAnsi="宋体"/>
          <w:b/>
          <w:szCs w:val="21"/>
        </w:rPr>
        <w:t>三是创新农业生产服务方式。</w:t>
      </w:r>
      <w:r>
        <w:rPr>
          <w:rFonts w:hint="eastAsia" w:ascii="宋体" w:hAnsi="宋体" w:cs="方正小标宋简体"/>
          <w:szCs w:val="21"/>
        </w:rPr>
        <w:t>着力推进生产、供销、信用“三位一体”综合合作，构建覆盖全程、综合配套、便捷高效的农业社会化服务体系，为农民生产生活提供产前、产中、产后全程规模化服务。全系统土地托管半托管面积达到412.40万亩，统防统治、配方施肥、农机服务面积达到581.47万亩。</w:t>
      </w:r>
    </w:p>
    <w:p>
      <w:pPr>
        <w:spacing w:line="520" w:lineRule="exact"/>
        <w:ind w:firstLine="422" w:firstLineChars="201"/>
        <w:rPr>
          <w:rFonts w:hint="eastAsia" w:ascii="宋体" w:hAnsi="宋体" w:cs="黑体"/>
          <w:szCs w:val="21"/>
        </w:rPr>
      </w:pPr>
      <w:r>
        <w:rPr>
          <w:rFonts w:hint="eastAsia" w:ascii="宋体" w:hAnsi="宋体"/>
          <w:szCs w:val="21"/>
        </w:rPr>
        <w:t>四、做实</w:t>
      </w:r>
      <w:r>
        <w:rPr>
          <w:rFonts w:hint="eastAsia" w:ascii="宋体" w:hAnsi="宋体" w:cs="黑体"/>
          <w:szCs w:val="21"/>
        </w:rPr>
        <w:t>“务农”功能，推进传统流通网络改革，更好服务保供稳价和农民增收</w:t>
      </w:r>
    </w:p>
    <w:p>
      <w:pPr>
        <w:spacing w:line="520" w:lineRule="exact"/>
        <w:ind w:firstLine="420" w:firstLineChars="200"/>
        <w:rPr>
          <w:rFonts w:hint="eastAsia" w:ascii="宋体" w:hAnsi="宋体" w:cs="方正小标宋简体"/>
          <w:szCs w:val="21"/>
        </w:rPr>
      </w:pPr>
      <w:r>
        <w:rPr>
          <w:rFonts w:hint="eastAsia" w:ascii="宋体" w:hAnsi="宋体" w:cs="方正小标宋简体"/>
          <w:szCs w:val="21"/>
        </w:rPr>
        <w:t>坚持为“三农”服务根本宗旨，在土地托管、农村电商、产权流转、金融服务等领域广泛开展为农服务活动，努力在服务乡村振兴中彰显供销新作为。</w:t>
      </w:r>
      <w:r>
        <w:rPr>
          <w:rFonts w:hint="eastAsia" w:ascii="宋体" w:hAnsi="宋体"/>
          <w:b/>
          <w:szCs w:val="21"/>
        </w:rPr>
        <w:t>一是推进线上线下融合发展。</w:t>
      </w:r>
      <w:r>
        <w:rPr>
          <w:rFonts w:hint="eastAsia" w:ascii="宋体" w:hAnsi="宋体" w:cs="方正小标宋简体"/>
          <w:szCs w:val="21"/>
        </w:rPr>
        <w:t>制定出台《关于加强农产品电商销售的实施意见》。在疫情防控常态化前提下，加快发展农村电子商务。8个平台与全国总社“供销e家”对接，自建14个电商服务平台,发展社区电子商务站1643个，开展电商业务的企业40家,开展电商业务的农民专业合作社338个,开展物流业务配送的电商企业37家,电商销售额6.36亿元，同比增长45.64%。</w:t>
      </w:r>
      <w:r>
        <w:rPr>
          <w:rFonts w:hint="eastAsia" w:ascii="宋体" w:hAnsi="宋体"/>
          <w:b/>
          <w:szCs w:val="21"/>
        </w:rPr>
        <w:t>二是建设农产品批发市场。</w:t>
      </w:r>
      <w:r>
        <w:rPr>
          <w:rFonts w:hint="eastAsia" w:ascii="宋体" w:hAnsi="宋体" w:cs="方正小标宋简体"/>
          <w:szCs w:val="21"/>
        </w:rPr>
        <w:t>推进农产品集散地批发市场建设，遵化市与中国供销集团合作建设中国供销·京东(遵化)农产品智慧物流园，占地145亩，总投资10亿元，目前项目公司已注册，通过招拍挂取得用地手续，12月进场施工。</w:t>
      </w:r>
      <w:r>
        <w:rPr>
          <w:rFonts w:hint="eastAsia" w:ascii="宋体" w:hAnsi="宋体"/>
          <w:b/>
          <w:szCs w:val="21"/>
        </w:rPr>
        <w:t>三是发展冷链物流。</w:t>
      </w:r>
      <w:r>
        <w:rPr>
          <w:rFonts w:hint="eastAsia" w:ascii="宋体" w:hAnsi="宋体" w:cs="方正小标宋简体"/>
          <w:szCs w:val="21"/>
        </w:rPr>
        <w:t>出台了《关于加强农村现代流通网络体系建设的实施意见》和《关于推进供销系统物流体系建设实施意见》。市农产品销售公司为龙头，依托3100亩生产基地、4500立方米冷链仓储设施，建设50家供销社区生鲜店，满足9万户居民生活需求。</w:t>
      </w:r>
    </w:p>
    <w:p>
      <w:pPr>
        <w:spacing w:line="520" w:lineRule="exact"/>
        <w:ind w:firstLine="422" w:firstLineChars="201"/>
        <w:rPr>
          <w:rFonts w:hint="eastAsia" w:ascii="宋体" w:hAnsi="宋体"/>
          <w:b/>
          <w:szCs w:val="21"/>
        </w:rPr>
      </w:pPr>
      <w:r>
        <w:rPr>
          <w:rFonts w:hint="eastAsia" w:ascii="宋体" w:hAnsi="宋体"/>
          <w:szCs w:val="21"/>
        </w:rPr>
        <w:t>五、守牢“稳行”底线，</w:t>
      </w:r>
      <w:r>
        <w:rPr>
          <w:rFonts w:hint="eastAsia" w:ascii="宋体" w:hAnsi="宋体"/>
          <w:b/>
          <w:szCs w:val="21"/>
        </w:rPr>
        <w:t>推进社资社企改革，推动社有企业稳健发展</w:t>
      </w:r>
    </w:p>
    <w:p>
      <w:pPr>
        <w:shd w:val="solid" w:color="FFFFFF" w:fill="auto"/>
        <w:autoSpaceDN w:val="0"/>
        <w:spacing w:line="520" w:lineRule="exact"/>
        <w:ind w:firstLine="420" w:firstLineChars="200"/>
        <w:rPr>
          <w:rFonts w:hint="eastAsia" w:ascii="宋体" w:hAnsi="宋体"/>
          <w:szCs w:val="21"/>
        </w:rPr>
      </w:pPr>
      <w:r>
        <w:rPr>
          <w:rFonts w:hint="eastAsia" w:ascii="宋体" w:hAnsi="宋体" w:cs="仿宋_GB2312"/>
          <w:szCs w:val="21"/>
        </w:rPr>
        <w:t>坚决扛起防范化解重大风险的政治责任，全力推进风险排查化解，确保系统健康发展、行稳致远。</w:t>
      </w:r>
      <w:r>
        <w:rPr>
          <w:rFonts w:hint="eastAsia" w:ascii="宋体" w:hAnsi="宋体"/>
          <w:b/>
          <w:szCs w:val="21"/>
        </w:rPr>
        <w:t>一是拓宽企业经营业态</w:t>
      </w:r>
      <w:r>
        <w:rPr>
          <w:rFonts w:hint="eastAsia" w:ascii="宋体" w:hAnsi="宋体"/>
          <w:szCs w:val="21"/>
        </w:rPr>
        <w:t>。拓展农资、棉麻、盐业、土产、再生资源等传统业务经营。组织集团各单位考察本地及周边市场，结合各单位实际，借鉴外部经验，利用自身优势，谋划主营业务经营。</w:t>
      </w:r>
      <w:r>
        <w:rPr>
          <w:rFonts w:hint="eastAsia" w:ascii="宋体" w:hAnsi="宋体"/>
          <w:b/>
          <w:szCs w:val="21"/>
        </w:rPr>
        <w:t>二是持续加强企业管控。</w:t>
      </w:r>
      <w:r>
        <w:rPr>
          <w:rFonts w:hint="eastAsia" w:ascii="宋体" w:hAnsi="宋体"/>
          <w:szCs w:val="21"/>
        </w:rPr>
        <w:t>加强党对社有企业领导，</w:t>
      </w:r>
      <w:r>
        <w:rPr>
          <w:rFonts w:hint="eastAsia" w:ascii="宋体" w:hAnsi="宋体" w:cs="仿宋"/>
          <w:szCs w:val="21"/>
        </w:rPr>
        <w:t>加</w:t>
      </w:r>
      <w:r>
        <w:rPr>
          <w:rFonts w:hint="eastAsia" w:ascii="宋体" w:hAnsi="宋体"/>
          <w:szCs w:val="21"/>
        </w:rPr>
        <w:t>快完善法人治理结构，加强完善资产管理体制，</w:t>
      </w:r>
      <w:r>
        <w:rPr>
          <w:rFonts w:hint="eastAsia" w:ascii="宋体" w:hAnsi="宋体" w:cs="仿宋_GB2312"/>
          <w:szCs w:val="21"/>
        </w:rPr>
        <w:t>市供销社和12个县级社全部成立了社资委，</w:t>
      </w:r>
      <w:r>
        <w:rPr>
          <w:rFonts w:hint="eastAsia" w:ascii="宋体" w:hAnsi="宋体"/>
          <w:szCs w:val="21"/>
        </w:rPr>
        <w:t>制定完善23项规章制度。落实全国总社“5个不准”要求，严格规范社有企业“三重一大”、股权变更、对外担保、出借资金、项目投资、融资、股权投资等行为。</w:t>
      </w:r>
      <w:r>
        <w:rPr>
          <w:rFonts w:hint="eastAsia" w:ascii="宋体" w:hAnsi="宋体"/>
          <w:b/>
          <w:szCs w:val="21"/>
        </w:rPr>
        <w:t>三是全力推进风险排查化解。</w:t>
      </w:r>
      <w:r>
        <w:rPr>
          <w:rFonts w:hint="eastAsia" w:ascii="宋体" w:hAnsi="宋体"/>
          <w:szCs w:val="21"/>
        </w:rPr>
        <w:t>坚持底线思维，全力做好金融、经营、法律、安全生产等方面的风险防控，推进全面从严治党、从严治社，成立5个重点工作专班，按照“五个一”工作机制，制定相关工作方案，明确工作目标和时间节点，严防风险发生。</w:t>
      </w:r>
    </w:p>
    <w:p>
      <w:pPr>
        <w:spacing w:line="530" w:lineRule="exact"/>
        <w:ind w:firstLine="420" w:firstLineChars="200"/>
        <w:rPr>
          <w:rFonts w:hint="eastAsia" w:ascii="宋体" w:hAnsi="宋体"/>
          <w:szCs w:val="21"/>
        </w:rPr>
      </w:pPr>
      <w:r>
        <w:rPr>
          <w:rFonts w:hint="eastAsia" w:ascii="宋体" w:hAnsi="宋体"/>
          <w:szCs w:val="21"/>
        </w:rPr>
        <w:t>市供销</w:t>
      </w:r>
      <w:r>
        <w:rPr>
          <w:rFonts w:ascii="宋体" w:hAnsi="宋体"/>
          <w:szCs w:val="21"/>
        </w:rPr>
        <w:t>社</w:t>
      </w:r>
      <w:r>
        <w:rPr>
          <w:rFonts w:hint="eastAsia" w:ascii="宋体" w:hAnsi="宋体"/>
          <w:szCs w:val="21"/>
        </w:rPr>
        <w:t>虽然取得了一定成绩，但依然存在许多制约发展的问题和不容忽视的挑战。在服务乡村振兴中，供销社取得的成效还不够明显，独特优势和作用还没有充分发挥出来；综合改革进展不平衡，有些领域的改革进展还不明显，特别是体制机制方面的改革突破不多；历史遗留问题众多，在资产性质、资产权属、人员安置等方面尤为突出；人才短缺的问题依然突出，特别缺少懂</w:t>
      </w:r>
      <w:r>
        <w:rPr>
          <w:rFonts w:ascii="宋体" w:hAnsi="宋体"/>
          <w:szCs w:val="21"/>
        </w:rPr>
        <w:t>市场、会管理</w:t>
      </w:r>
      <w:r>
        <w:rPr>
          <w:rFonts w:hint="eastAsia" w:ascii="宋体" w:hAnsi="宋体"/>
          <w:szCs w:val="21"/>
        </w:rPr>
        <w:t>、敢创新</w:t>
      </w:r>
      <w:r>
        <w:rPr>
          <w:rFonts w:ascii="宋体" w:hAnsi="宋体"/>
          <w:szCs w:val="21"/>
        </w:rPr>
        <w:t>的</w:t>
      </w:r>
      <w:r>
        <w:rPr>
          <w:rFonts w:hint="eastAsia" w:ascii="宋体" w:hAnsi="宋体"/>
          <w:szCs w:val="21"/>
        </w:rPr>
        <w:t>复合型</w:t>
      </w:r>
      <w:r>
        <w:rPr>
          <w:rFonts w:ascii="宋体" w:hAnsi="宋体"/>
          <w:szCs w:val="21"/>
        </w:rPr>
        <w:t>人才</w:t>
      </w:r>
      <w:r>
        <w:rPr>
          <w:rFonts w:hint="eastAsia" w:ascii="宋体" w:hAnsi="宋体"/>
          <w:szCs w:val="21"/>
        </w:rPr>
        <w:t>；社有企业负债负担较重，部分企业经济效益差，经营困难等，都需要妥善解决。</w:t>
      </w:r>
    </w:p>
    <w:p>
      <w:pPr>
        <w:spacing w:line="520" w:lineRule="exact"/>
        <w:ind w:firstLine="403" w:firstLineChars="192"/>
        <w:rPr>
          <w:rFonts w:hint="eastAsia" w:ascii="宋体" w:hAnsi="宋体"/>
          <w:szCs w:val="21"/>
        </w:rPr>
      </w:pPr>
      <w:r>
        <w:rPr>
          <w:rFonts w:hint="eastAsia" w:ascii="宋体" w:hAnsi="宋体"/>
          <w:szCs w:val="21"/>
        </w:rPr>
        <w:t>全市供销社系统将以习近平新时代中国特色社会主义思想为指导，坚决落实市委市政府的决策部署，持续深化综合改革，坚决守住风险底线，以“争第一、创唯一”为目标，完善体制机制，拓展服务领域，加快成为服务农民生产生活的综合平台，为推进乡村振兴、实现“三个努力建成”贡献力量。</w:t>
      </w:r>
    </w:p>
    <w:p>
      <w:pPr>
        <w:spacing w:line="520" w:lineRule="exact"/>
        <w:ind w:firstLine="422" w:firstLineChars="200"/>
        <w:rPr>
          <w:rFonts w:ascii="宋体" w:hAnsi="宋体"/>
          <w:szCs w:val="21"/>
        </w:rPr>
      </w:pPr>
      <w:r>
        <w:rPr>
          <w:rFonts w:hint="eastAsia" w:ascii="宋体" w:hAnsi="宋体"/>
          <w:b/>
          <w:szCs w:val="21"/>
        </w:rPr>
        <w:t>（一）深化综合改革。</w:t>
      </w:r>
      <w:r>
        <w:rPr>
          <w:rFonts w:hint="eastAsia" w:ascii="宋体" w:hAnsi="宋体"/>
          <w:szCs w:val="21"/>
        </w:rPr>
        <w:t>深入贯彻习近平总书记对供销合作社作出的重要指示批示，牢牢把握供销社综合改革的目标任务，加大改革的推动力和执行力，</w:t>
      </w:r>
      <w:r>
        <w:rPr>
          <w:rFonts w:ascii="宋体" w:hAnsi="宋体"/>
          <w:szCs w:val="21"/>
        </w:rPr>
        <w:t>坚持问题导向</w:t>
      </w:r>
      <w:r>
        <w:rPr>
          <w:rFonts w:hint="eastAsia" w:ascii="宋体" w:hAnsi="宋体"/>
          <w:szCs w:val="21"/>
        </w:rPr>
        <w:t>，</w:t>
      </w:r>
      <w:r>
        <w:rPr>
          <w:rFonts w:ascii="宋体" w:hAnsi="宋体"/>
          <w:szCs w:val="21"/>
        </w:rPr>
        <w:t>突出改革重点</w:t>
      </w:r>
      <w:r>
        <w:rPr>
          <w:rFonts w:hint="eastAsia" w:ascii="宋体" w:hAnsi="宋体"/>
          <w:szCs w:val="21"/>
        </w:rPr>
        <w:t>，完善体制机制，拓展服务领域，守住风险底线，加快打造服务农民生产生活的综合平台。2022年，主要经济指标同比增长10%，省社综合业绩考核位列第一梯队。</w:t>
      </w:r>
    </w:p>
    <w:p>
      <w:pPr>
        <w:spacing w:line="520" w:lineRule="exact"/>
        <w:ind w:firstLine="422" w:firstLineChars="200"/>
        <w:rPr>
          <w:rFonts w:ascii="宋体" w:hAnsi="宋体"/>
          <w:szCs w:val="21"/>
        </w:rPr>
      </w:pPr>
      <w:r>
        <w:rPr>
          <w:rFonts w:hint="eastAsia" w:ascii="宋体" w:hAnsi="宋体"/>
          <w:b/>
          <w:szCs w:val="21"/>
        </w:rPr>
        <w:t>（二）服务合作项目。</w:t>
      </w:r>
      <w:r>
        <w:rPr>
          <w:rFonts w:hint="eastAsia" w:ascii="宋体" w:hAnsi="宋体"/>
          <w:szCs w:val="21"/>
        </w:rPr>
        <w:t>贯彻落实9月13日市政府与中国供销集团、河北省供销社签署战略合作协议，积极加强与中国供销集团和项目所在县（市、区）的沟通对接，按照“五个一”工作机制，为中国供销集团—曹妃甸大宗商品智慧物流园区、“京津冀”优质高端农产品供应保障基地、城乡环境服务、社区综合服务中心、农业社会化服务体系建设等合作项目提供全方位服务，确保早日建成达效。</w:t>
      </w:r>
      <w:r>
        <w:rPr>
          <w:rFonts w:ascii="宋体" w:hAnsi="宋体"/>
          <w:szCs w:val="21"/>
        </w:rPr>
        <w:t xml:space="preserve"> </w:t>
      </w:r>
    </w:p>
    <w:p>
      <w:pPr>
        <w:spacing w:line="520" w:lineRule="exact"/>
        <w:ind w:firstLine="422" w:firstLineChars="200"/>
        <w:rPr>
          <w:rFonts w:hint="eastAsia" w:ascii="宋体" w:hAnsi="宋体"/>
          <w:szCs w:val="21"/>
        </w:rPr>
      </w:pPr>
      <w:r>
        <w:rPr>
          <w:rFonts w:hint="eastAsia" w:ascii="宋体" w:hAnsi="宋体"/>
          <w:b/>
          <w:szCs w:val="21"/>
        </w:rPr>
        <w:t>（三）提升服务能力。</w:t>
      </w:r>
      <w:r>
        <w:rPr>
          <w:rFonts w:hint="eastAsia" w:ascii="宋体" w:hAnsi="宋体"/>
          <w:szCs w:val="21"/>
        </w:rPr>
        <w:t>进一步发挥自身优势，重点在培育农民合作社、组织带动服务农民上下功夫。通过共同出资、共创品牌、共享利益等方式，带动更多农民参与现代农业发展。以浅埋滴灌节水农业为切入点，开展以土地流转、土地托管为主的农业社会化服务体系建设，全市供销社系统土地流转、土地托管面积同比增长10%以上，统防统治、配方施肥、农机服务面积分别达到60万亩、430万亩、580万亩。积极参与农村人居环境治理，全市供销社系统的农村生活垃圾回收、废旧农膜回收、农药包装废弃物回收数量同比增长10%，分别达到174吨、895吨、13吨。</w:t>
      </w:r>
    </w:p>
    <w:p>
      <w:pPr>
        <w:spacing w:line="520" w:lineRule="exact"/>
        <w:ind w:firstLine="422" w:firstLineChars="200"/>
        <w:rPr>
          <w:rFonts w:ascii="宋体" w:hAnsi="宋体"/>
          <w:szCs w:val="21"/>
        </w:rPr>
      </w:pPr>
      <w:r>
        <w:rPr>
          <w:rFonts w:hint="eastAsia" w:ascii="宋体" w:hAnsi="宋体"/>
          <w:b/>
          <w:szCs w:val="21"/>
        </w:rPr>
        <w:t>（四）夯实基层基础。</w:t>
      </w:r>
      <w:r>
        <w:rPr>
          <w:rFonts w:hint="eastAsia" w:ascii="宋体" w:hAnsi="宋体"/>
          <w:szCs w:val="21"/>
        </w:rPr>
        <w:t>强化基层供销社建设，打造为农服务综合体。2022年，改造升级20个薄弱基层社，新建30个村级综合服务站，新增基层社社员6000人，提高组织带动能力，助力乡村振兴。积极参加总社百强县级社、基层社标杆社、</w:t>
      </w:r>
      <w:r>
        <w:rPr>
          <w:rFonts w:ascii="宋体" w:hAnsi="宋体"/>
          <w:szCs w:val="21"/>
        </w:rPr>
        <w:t>农民专业合作社示范社以及</w:t>
      </w:r>
      <w:r>
        <w:rPr>
          <w:rFonts w:hint="eastAsia" w:ascii="宋体" w:hAnsi="宋体"/>
          <w:szCs w:val="21"/>
        </w:rPr>
        <w:t>省社农民专业合作社示范社创建。</w:t>
      </w:r>
    </w:p>
    <w:p>
      <w:pPr>
        <w:spacing w:line="520" w:lineRule="exact"/>
        <w:ind w:firstLine="422" w:firstLineChars="200"/>
        <w:rPr>
          <w:rFonts w:ascii="宋体" w:hAnsi="宋体"/>
          <w:szCs w:val="21"/>
        </w:rPr>
      </w:pPr>
      <w:r>
        <w:rPr>
          <w:rFonts w:hint="eastAsia" w:ascii="宋体" w:hAnsi="宋体"/>
          <w:b/>
          <w:szCs w:val="21"/>
        </w:rPr>
        <w:t>（五）优化流通网络。</w:t>
      </w:r>
      <w:r>
        <w:rPr>
          <w:rFonts w:hint="eastAsia" w:ascii="宋体" w:hAnsi="宋体"/>
          <w:szCs w:val="21"/>
        </w:rPr>
        <w:t>构建农产品市场体系，积极谋划、推进农产品加工、销售、市场、连锁、冷链物流、中央厨房等项目。推广农产品直采直销模式，组织开展产销对接活动。从农业生产者购进的农产品总额、连锁经营销售额、电子商务销售额、农产品电子商务销售额分别增长10%，分别达到150亿元、10亿元、10亿元、5亿元。</w:t>
      </w:r>
    </w:p>
    <w:p>
      <w:pPr>
        <w:spacing w:line="520" w:lineRule="exact"/>
        <w:ind w:firstLine="422" w:firstLineChars="200"/>
        <w:rPr>
          <w:rFonts w:hint="eastAsia" w:ascii="宋体" w:hAnsi="宋体"/>
          <w:szCs w:val="21"/>
        </w:rPr>
      </w:pPr>
      <w:r>
        <w:rPr>
          <w:rFonts w:hint="eastAsia" w:ascii="宋体" w:hAnsi="宋体"/>
          <w:b/>
          <w:szCs w:val="21"/>
        </w:rPr>
        <w:t>（六）推进社企改革。</w:t>
      </w:r>
      <w:r>
        <w:rPr>
          <w:rFonts w:hint="eastAsia" w:ascii="宋体" w:hAnsi="宋体"/>
          <w:szCs w:val="21"/>
        </w:rPr>
        <w:t>加快企业改造重组，完善法人治理结构，加快建立现代企业制度，激发企业内部活力。巩固再生资源、盐业、棉花、农资、农产品等传统行业，延伸经营服务终端，加强社有资产管理运营，抓好在建项目，全面化解各类风险。</w:t>
      </w:r>
    </w:p>
    <w:p>
      <w:pPr>
        <w:spacing w:line="520" w:lineRule="exact"/>
        <w:ind w:firstLine="422" w:firstLineChars="200"/>
        <w:rPr>
          <w:rFonts w:hint="eastAsia" w:ascii="宋体" w:hAnsi="宋体"/>
          <w:szCs w:val="21"/>
        </w:rPr>
      </w:pPr>
      <w:r>
        <w:rPr>
          <w:rFonts w:hint="eastAsia" w:ascii="宋体" w:hAnsi="宋体"/>
          <w:b/>
          <w:szCs w:val="21"/>
        </w:rPr>
        <w:t>（七）创新治理机制。</w:t>
      </w:r>
      <w:r>
        <w:rPr>
          <w:rFonts w:hint="eastAsia" w:ascii="宋体" w:hAnsi="宋体"/>
          <w:szCs w:val="21"/>
        </w:rPr>
        <w:t>加快推进联合社体制改革和机制创新，健全社员代表大会、理事会、监事会组织架构，完善相关议事决策规则，强化民主管理、民主监督。建立起符合供销社实际的行业指导体系，进一步优化机构设置、职能配置，健全民主集中制，提高科学决策、民主决策水平，促进社有资产保值增值。</w:t>
      </w:r>
    </w:p>
    <w:p>
      <w:pPr>
        <w:spacing w:line="520" w:lineRule="exact"/>
        <w:ind w:firstLine="422" w:firstLineChars="200"/>
        <w:rPr>
          <w:rFonts w:hint="eastAsia" w:ascii="宋体" w:hAnsi="宋体"/>
          <w:szCs w:val="21"/>
        </w:rPr>
      </w:pPr>
      <w:r>
        <w:rPr>
          <w:rFonts w:hint="eastAsia" w:ascii="宋体" w:hAnsi="宋体"/>
          <w:b/>
          <w:szCs w:val="21"/>
        </w:rPr>
        <w:t>（八）加强廉政建设。</w:t>
      </w:r>
      <w:r>
        <w:rPr>
          <w:rFonts w:hint="eastAsia" w:ascii="宋体" w:hAnsi="宋体"/>
          <w:szCs w:val="21"/>
        </w:rPr>
        <w:t>把加强党风廉政建设作为一项重要政治任务，持之以恒正风肃纪。深入开展纪律教育、警示教育，切实用好各类内部监督资源，强化对关键领域、关键环节的监督，形成监督合力，提高监督实效。弘扬“扁担精神”、“背篓精神”等优良传统，坚持为农、务农、姓农价值理念，以优良传统涵养风清气正的政治生态。</w:t>
      </w:r>
    </w:p>
    <w:p>
      <w:pPr>
        <w:spacing w:line="520" w:lineRule="exact"/>
        <w:ind w:firstLine="640" w:firstLineChars="200"/>
        <w:rPr>
          <w:rFonts w:hint="eastAsia" w:ascii="仿宋_GB2312" w:eastAsia="仿宋_GB2312"/>
          <w:sz w:val="32"/>
          <w:szCs w:val="32"/>
        </w:rPr>
      </w:pPr>
    </w:p>
    <w:p>
      <w:pPr>
        <w:pStyle w:val="3"/>
        <w:spacing w:line="530" w:lineRule="exact"/>
        <w:ind w:firstLine="430" w:firstLineChars="205"/>
        <w:rPr>
          <w:rFonts w:hint="eastAsia"/>
        </w:rPr>
      </w:pPr>
    </w:p>
    <w:p>
      <w:pPr>
        <w:spacing w:line="360" w:lineRule="auto"/>
        <w:jc w:val="left"/>
        <w:rPr>
          <w:rFonts w:ascii="宋体" w:hAnsi="宋体" w:eastAsia="宋体"/>
          <w:b/>
          <w:color w:val="000000"/>
          <w:sz w:val="28"/>
        </w:rPr>
        <w:sectPr>
          <w:pgSz w:w="11906" w:h="16838"/>
          <w:pgMar w:top="1440" w:right="1800" w:bottom="1440" w:left="1800" w:header="851" w:footer="992" w:gutter="0"/>
          <w:cols w:space="425" w:num="1"/>
          <w:docGrid w:type="lines" w:linePitch="312" w:charSpace="0"/>
        </w:sectPr>
      </w:pPr>
    </w:p>
    <w:p>
      <w:pPr>
        <w:jc w:val="center"/>
        <w:rPr>
          <w:rFonts w:hint="eastAsia" w:ascii="黑体" w:eastAsia="黑体"/>
          <w:b/>
          <w:sz w:val="32"/>
          <w:szCs w:val="32"/>
        </w:rPr>
      </w:pPr>
      <w:r>
        <w:rPr>
          <w:rFonts w:hint="eastAsia" w:ascii="黑体" w:eastAsia="黑体"/>
          <w:b/>
          <w:sz w:val="32"/>
          <w:szCs w:val="32"/>
        </w:rPr>
        <w:t>收支预算总表</w:t>
      </w:r>
    </w:p>
    <w:tbl>
      <w:tblPr>
        <w:tblStyle w:val="9"/>
        <w:tblW w:w="9379" w:type="dxa"/>
        <w:jc w:val="center"/>
        <w:tblLayout w:type="autofit"/>
        <w:tblCellMar>
          <w:top w:w="0" w:type="dxa"/>
          <w:left w:w="108" w:type="dxa"/>
          <w:bottom w:w="0" w:type="dxa"/>
          <w:right w:w="108" w:type="dxa"/>
        </w:tblCellMar>
      </w:tblPr>
      <w:tblGrid>
        <w:gridCol w:w="1396"/>
        <w:gridCol w:w="4961"/>
        <w:gridCol w:w="3022"/>
      </w:tblGrid>
      <w:tr>
        <w:tblPrEx>
          <w:tblCellMar>
            <w:top w:w="0" w:type="dxa"/>
            <w:left w:w="108" w:type="dxa"/>
            <w:bottom w:w="0" w:type="dxa"/>
            <w:right w:w="108" w:type="dxa"/>
          </w:tblCellMar>
        </w:tblPrEx>
        <w:trPr>
          <w:cantSplit/>
          <w:trHeight w:val="312" w:hRule="atLeast"/>
          <w:tblHeader/>
          <w:jc w:val="center"/>
        </w:trPr>
        <w:tc>
          <w:tcPr>
            <w:tcW w:w="6357" w:type="dxa"/>
            <w:gridSpan w:val="2"/>
            <w:tcBorders>
              <w:bottom w:val="single" w:color="auto" w:sz="4" w:space="0"/>
            </w:tcBorders>
            <w:shd w:val="clear" w:color="auto" w:fill="auto"/>
            <w:noWrap/>
            <w:vAlign w:val="center"/>
          </w:tcPr>
          <w:p>
            <w:pPr>
              <w:widowControl/>
              <w:jc w:val="left"/>
              <w:rPr>
                <w:rFonts w:hint="eastAsia" w:ascii="黑体" w:eastAsia="黑体"/>
                <w:b/>
              </w:rPr>
            </w:pPr>
            <w:r>
              <w:rPr>
                <w:rFonts w:ascii="宋体" w:hAnsi="宋体"/>
                <w:sz w:val="28"/>
              </w:rPr>
              <w:t>620002唐山市供销合作总社</w:t>
            </w:r>
          </w:p>
        </w:tc>
        <w:tc>
          <w:tcPr>
            <w:tcW w:w="3022" w:type="dxa"/>
            <w:tcBorders>
              <w:bottom w:val="single" w:color="auto" w:sz="4" w:space="0"/>
            </w:tcBorders>
            <w:shd w:val="clear" w:color="auto" w:fill="auto"/>
            <w:noWrap/>
            <w:vAlign w:val="center"/>
          </w:tcPr>
          <w:p>
            <w:pPr>
              <w:widowControl/>
              <w:jc w:val="right"/>
              <w:rPr>
                <w:rFonts w:hint="eastAsia" w:ascii="黑体" w:eastAsia="黑体"/>
                <w:b/>
              </w:rPr>
            </w:pPr>
            <w:r>
              <w:rPr>
                <w:rFonts w:ascii="宋体" w:hAnsi="宋体"/>
                <w:sz w:val="24"/>
              </w:rPr>
              <w:t>单位：万元</w:t>
            </w:r>
          </w:p>
        </w:tc>
      </w:tr>
      <w:tr>
        <w:tblPrEx>
          <w:tblCellMar>
            <w:top w:w="0" w:type="dxa"/>
            <w:left w:w="108" w:type="dxa"/>
            <w:bottom w:w="0" w:type="dxa"/>
            <w:right w:w="108" w:type="dxa"/>
          </w:tblCellMar>
        </w:tblPrEx>
        <w:trPr>
          <w:cantSplit/>
          <w:trHeight w:val="312" w:hRule="atLeast"/>
          <w:tblHeader/>
          <w:jc w:val="center"/>
        </w:trPr>
        <w:tc>
          <w:tcPr>
            <w:tcW w:w="139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Arial"/>
                <w:b/>
                <w:kern w:val="0"/>
                <w:szCs w:val="21"/>
              </w:rPr>
            </w:pPr>
            <w:r>
              <w:rPr>
                <w:rFonts w:hint="eastAsia" w:ascii="黑体" w:eastAsia="黑体"/>
                <w:b/>
              </w:rPr>
              <w:t>项目代码</w:t>
            </w:r>
          </w:p>
        </w:tc>
        <w:tc>
          <w:tcPr>
            <w:tcW w:w="496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Arial"/>
                <w:b/>
                <w:kern w:val="0"/>
                <w:szCs w:val="21"/>
              </w:rPr>
            </w:pPr>
            <w:r>
              <w:rPr>
                <w:rFonts w:hint="eastAsia" w:ascii="黑体" w:eastAsia="黑体"/>
                <w:b/>
              </w:rPr>
              <w:t>预算收支项目</w:t>
            </w:r>
          </w:p>
        </w:tc>
        <w:tc>
          <w:tcPr>
            <w:tcW w:w="302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Arial"/>
                <w:b/>
                <w:kern w:val="0"/>
                <w:szCs w:val="21"/>
              </w:rPr>
            </w:pPr>
            <w:r>
              <w:rPr>
                <w:rFonts w:hint="eastAsia" w:ascii="黑体" w:eastAsia="黑体"/>
                <w:b/>
              </w:rPr>
              <w:t>预算金额</w:t>
            </w:r>
          </w:p>
        </w:tc>
      </w:tr>
      <w:tr>
        <w:tblPrEx>
          <w:tblCellMar>
            <w:top w:w="0" w:type="dxa"/>
            <w:left w:w="108" w:type="dxa"/>
            <w:bottom w:w="0" w:type="dxa"/>
            <w:right w:w="108" w:type="dxa"/>
          </w:tblCellMar>
        </w:tblPrEx>
        <w:trPr>
          <w:cantSplit/>
          <w:trHeight w:val="312" w:hRule="atLeast"/>
          <w:tblHeader/>
          <w:jc w:val="center"/>
        </w:trPr>
        <w:tc>
          <w:tcPr>
            <w:tcW w:w="139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p>
        </w:tc>
        <w:tc>
          <w:tcPr>
            <w:tcW w:w="496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p>
        </w:tc>
        <w:tc>
          <w:tcPr>
            <w:tcW w:w="302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p>
        </w:tc>
      </w:tr>
      <w:tr>
        <w:tblPrEx>
          <w:tblCellMar>
            <w:top w:w="0" w:type="dxa"/>
            <w:left w:w="108" w:type="dxa"/>
            <w:bottom w:w="0" w:type="dxa"/>
            <w:right w:w="108" w:type="dxa"/>
          </w:tblCellMar>
        </w:tblPrEx>
        <w:trPr>
          <w:cantSplit/>
          <w:trHeight w:val="312" w:hRule="atLeast"/>
          <w:tblHeader/>
          <w:jc w:val="center"/>
        </w:trPr>
        <w:tc>
          <w:tcPr>
            <w:tcW w:w="139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p>
        </w:tc>
        <w:tc>
          <w:tcPr>
            <w:tcW w:w="302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预算收入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741.92</w:t>
            </w: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一般公共预算拨款</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741.92</w:t>
            </w: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其中：财政拨款（补助）收入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741.92</w:t>
            </w: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行政事业性收费</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罚没收入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专项收入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国有资源（资产）有偿使用收入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国有资本经营收入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政府住房基金收入（原债务收入）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上级转移支付资金</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其中：一般性转移支付</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专项转移支付</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其他</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政府性基金预算拨款安排</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国有资本经营预算收入安排</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其他来源收入安排</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其中：事业收入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上级补助收入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附属单位上缴收入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用事业基金弥补收支差额</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其他收入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纳入财政专户</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高中及其以上教育收费</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预算支出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741.92</w:t>
            </w: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人员经费支出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582.45</w:t>
            </w: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其中：工资福利支出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448.68</w:t>
            </w: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对个人和家庭补助</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133.77</w:t>
            </w: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公用经费支出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109.47</w:t>
            </w: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其中：正常公用经费支出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105.74</w:t>
            </w: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专项公用经费支出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3.73</w:t>
            </w: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专项项目支出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50</w:t>
            </w: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其他支出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结    余</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bl>
    <w:p>
      <w:pPr>
        <w:spacing w:line="20" w:lineRule="exact"/>
        <w:jc w:val="left"/>
        <w:rPr>
          <w:rFonts w:hint="eastAsia"/>
        </w:rPr>
      </w:pPr>
    </w:p>
    <w:p>
      <w:pPr>
        <w:spacing w:line="360" w:lineRule="auto"/>
        <w:jc w:val="left"/>
        <w:rPr>
          <w:rFonts w:ascii="宋体" w:hAnsi="宋体" w:eastAsia="宋体"/>
          <w:b/>
          <w:color w:val="000000"/>
          <w:sz w:val="28"/>
        </w:rPr>
        <w:sectPr>
          <w:headerReference r:id="rId15" w:type="default"/>
          <w:pgSz w:w="11906" w:h="16838"/>
          <w:pgMar w:top="1440" w:right="1800" w:bottom="1440" w:left="1800" w:header="851" w:footer="992" w:gutter="0"/>
          <w:cols w:space="425" w:num="1"/>
          <w:docGrid w:type="lines" w:linePitch="312" w:charSpace="0"/>
        </w:sectPr>
      </w:pPr>
    </w:p>
    <w:p>
      <w:pPr>
        <w:jc w:val="center"/>
        <w:rPr>
          <w:rFonts w:hint="eastAsia" w:ascii="黑体" w:hAnsi="黑体" w:eastAsia="黑体"/>
          <w:b/>
          <w:sz w:val="32"/>
          <w:szCs w:val="32"/>
        </w:rPr>
      </w:pPr>
      <w:r>
        <w:rPr>
          <w:rFonts w:hint="eastAsia" w:ascii="黑体" w:hAnsi="黑体" w:eastAsia="黑体"/>
          <w:b/>
          <w:sz w:val="32"/>
          <w:szCs w:val="32"/>
        </w:rPr>
        <w:t>单位人员经费支出安排表</w:t>
      </w:r>
    </w:p>
    <w:tbl>
      <w:tblPr>
        <w:tblStyle w:val="9"/>
        <w:tblW w:w="14016" w:type="dxa"/>
        <w:tblInd w:w="93" w:type="dxa"/>
        <w:tblLayout w:type="autofit"/>
        <w:tblCellMar>
          <w:top w:w="0" w:type="dxa"/>
          <w:left w:w="108" w:type="dxa"/>
          <w:bottom w:w="0" w:type="dxa"/>
          <w:right w:w="108" w:type="dxa"/>
        </w:tblCellMar>
      </w:tblPr>
      <w:tblGrid>
        <w:gridCol w:w="1291"/>
        <w:gridCol w:w="1276"/>
        <w:gridCol w:w="3969"/>
        <w:gridCol w:w="1276"/>
        <w:gridCol w:w="1417"/>
        <w:gridCol w:w="1418"/>
        <w:gridCol w:w="254"/>
        <w:gridCol w:w="1163"/>
        <w:gridCol w:w="992"/>
        <w:gridCol w:w="960"/>
      </w:tblGrid>
      <w:tr>
        <w:tblPrEx>
          <w:tblCellMar>
            <w:top w:w="0" w:type="dxa"/>
            <w:left w:w="108" w:type="dxa"/>
            <w:bottom w:w="0" w:type="dxa"/>
            <w:right w:w="108" w:type="dxa"/>
          </w:tblCellMar>
        </w:tblPrEx>
        <w:trPr>
          <w:cantSplit/>
          <w:trHeight w:val="293" w:hRule="atLeast"/>
          <w:tblHeader/>
        </w:trPr>
        <w:tc>
          <w:tcPr>
            <w:tcW w:w="10901" w:type="dxa"/>
            <w:gridSpan w:val="7"/>
            <w:tcBorders>
              <w:top w:val="nil"/>
              <w:left w:val="nil"/>
              <w:bottom w:val="single" w:color="auto" w:sz="4" w:space="0"/>
              <w:right w:val="nil"/>
            </w:tcBorders>
            <w:shd w:val="clear" w:color="auto" w:fill="auto"/>
            <w:noWrap/>
            <w:vAlign w:val="bottom"/>
          </w:tcPr>
          <w:p>
            <w:pPr>
              <w:widowControl/>
              <w:jc w:val="left"/>
              <w:rPr>
                <w:rFonts w:ascii="宋体" w:hAnsi="宋体" w:cs="宋体"/>
                <w:color w:val="000000"/>
                <w:kern w:val="0"/>
                <w:sz w:val="28"/>
                <w:szCs w:val="28"/>
              </w:rPr>
            </w:pPr>
            <w:r>
              <w:rPr>
                <w:rFonts w:ascii="宋体" w:hAnsi="宋体" w:cs="宋体"/>
                <w:color w:val="000000"/>
                <w:kern w:val="0"/>
                <w:sz w:val="28"/>
                <w:szCs w:val="28"/>
              </w:rPr>
              <w:t>620002唐山市供销合作总社</w:t>
            </w:r>
          </w:p>
        </w:tc>
        <w:tc>
          <w:tcPr>
            <w:tcW w:w="3115" w:type="dxa"/>
            <w:gridSpan w:val="3"/>
            <w:tcBorders>
              <w:top w:val="nil"/>
              <w:left w:val="nil"/>
              <w:bottom w:val="single" w:color="auto" w:sz="4" w:space="0"/>
              <w:right w:val="nil"/>
            </w:tcBorders>
            <w:shd w:val="clear" w:color="auto" w:fill="auto"/>
            <w:noWrap/>
            <w:vAlign w:val="bottom"/>
          </w:tcPr>
          <w:p>
            <w:pPr>
              <w:widowControl/>
              <w:jc w:val="right"/>
              <w:rPr>
                <w:rFonts w:ascii="宋体" w:hAnsi="宋体" w:cs="宋体"/>
                <w:color w:val="000000"/>
                <w:kern w:val="0"/>
                <w:sz w:val="28"/>
                <w:szCs w:val="28"/>
              </w:rPr>
            </w:pPr>
            <w:r>
              <w:rPr>
                <w:rFonts w:hint="eastAsia" w:ascii="宋体" w:hAnsi="宋体" w:cs="宋体"/>
                <w:color w:val="000000"/>
                <w:kern w:val="0"/>
                <w:sz w:val="28"/>
                <w:szCs w:val="28"/>
              </w:rPr>
              <w:t>单位：万元</w:t>
            </w:r>
          </w:p>
        </w:tc>
      </w:tr>
      <w:tr>
        <w:tblPrEx>
          <w:tblCellMar>
            <w:top w:w="0" w:type="dxa"/>
            <w:left w:w="108" w:type="dxa"/>
            <w:bottom w:w="0" w:type="dxa"/>
            <w:right w:w="108" w:type="dxa"/>
          </w:tblCellMar>
        </w:tblPrEx>
        <w:trPr>
          <w:cantSplit/>
          <w:trHeight w:val="293" w:hRule="atLeast"/>
          <w:tblHeader/>
        </w:trPr>
        <w:tc>
          <w:tcPr>
            <w:tcW w:w="129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功能分类科目编码</w:t>
            </w:r>
          </w:p>
        </w:tc>
        <w:tc>
          <w:tcPr>
            <w:tcW w:w="127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经济分类科目编码</w:t>
            </w:r>
          </w:p>
        </w:tc>
        <w:tc>
          <w:tcPr>
            <w:tcW w:w="396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预算支出项目</w:t>
            </w:r>
          </w:p>
        </w:tc>
        <w:tc>
          <w:tcPr>
            <w:tcW w:w="7480" w:type="dxa"/>
            <w:gridSpan w:val="7"/>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经 费 来 源</w:t>
            </w:r>
          </w:p>
        </w:tc>
      </w:tr>
      <w:tr>
        <w:tblPrEx>
          <w:tblCellMar>
            <w:top w:w="0" w:type="dxa"/>
            <w:left w:w="108" w:type="dxa"/>
            <w:bottom w:w="0" w:type="dxa"/>
            <w:right w:w="108" w:type="dxa"/>
          </w:tblCellMar>
        </w:tblPrEx>
        <w:trPr>
          <w:cantSplit/>
          <w:trHeight w:val="339" w:hRule="atLeast"/>
          <w:tblHeader/>
        </w:trPr>
        <w:tc>
          <w:tcPr>
            <w:tcW w:w="129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p>
        </w:tc>
        <w:tc>
          <w:tcPr>
            <w:tcW w:w="3969"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p>
        </w:tc>
        <w:tc>
          <w:tcPr>
            <w:tcW w:w="127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合 计</w:t>
            </w:r>
          </w:p>
        </w:tc>
        <w:tc>
          <w:tcPr>
            <w:tcW w:w="141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一般公共预算拨款安排</w:t>
            </w:r>
          </w:p>
        </w:tc>
        <w:tc>
          <w:tcPr>
            <w:tcW w:w="141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政府性基金预算拨款安排</w:t>
            </w:r>
          </w:p>
        </w:tc>
        <w:tc>
          <w:tcPr>
            <w:tcW w:w="1417"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国有资本经营预算拨款安排</w:t>
            </w: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其他来源收入安排</w:t>
            </w:r>
          </w:p>
        </w:tc>
        <w:tc>
          <w:tcPr>
            <w:tcW w:w="96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高中及其以上教育收费</w:t>
            </w:r>
          </w:p>
        </w:tc>
      </w:tr>
      <w:tr>
        <w:tblPrEx>
          <w:tblCellMar>
            <w:top w:w="0" w:type="dxa"/>
            <w:left w:w="108" w:type="dxa"/>
            <w:bottom w:w="0" w:type="dxa"/>
            <w:right w:w="108" w:type="dxa"/>
          </w:tblCellMar>
        </w:tblPrEx>
        <w:trPr>
          <w:cantSplit/>
          <w:trHeight w:val="339" w:hRule="atLeast"/>
          <w:tblHeader/>
        </w:trPr>
        <w:tc>
          <w:tcPr>
            <w:tcW w:w="12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39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41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blHeader/>
        </w:trPr>
        <w:tc>
          <w:tcPr>
            <w:tcW w:w="129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2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396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2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人员经费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582.45</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582.45</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一、工资福利支出</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448.68</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448.68</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2160201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30101</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1、基本工资</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139.10</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139.10</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2、津贴补贴</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150.28</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150.28</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2160201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30102</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1）工作津贴</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48.23</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48.23</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2160201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30102</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2）生活补贴</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72.35</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72.35</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2160201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30102</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3）（特殊）岗位津贴（补贴）</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2160201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30102</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4）在职人员取暖补贴</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21.64</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21.64</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2160201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30102</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5）在职人员物业服务补贴</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7.66</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7.66</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6）规范津补贴后仍继续保留的补贴</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2160201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30102</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回族补贴</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2160201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30102</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职工劳模荣誉津贴</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7）上述项目之外的津贴补贴</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0.40</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0.40</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2160201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30102</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增发津补贴</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2160201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30102</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女职工卫生费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0.40</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0.40</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2160201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30103</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3、奖金</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11.59</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11.59</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4、社会保障缴费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115.16</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115.16</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2080505</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30108</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1）机关事业单位基本养老保险缴费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43.40</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43.40</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2160201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30109</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2）职业年金缴费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2101101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30110</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3）职工基本医疗保险缴费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18.99</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18.99</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2101101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30111</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4）公务员医疗补助缴费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50.73</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50.73</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2160201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30112</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5）事业单位失业保险</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2160201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30112</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6）行政事业单位工伤保险</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1.36</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1.36</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2160201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30112</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7）职工生育保险费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0.68</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0.68</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2210201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30113</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5、住房公积金</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32.55</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32.55</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6、绩效工资</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2160201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30107</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1）基础性绩效工资</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2160201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30107</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2）奖励性绩效工资</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2160201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30107</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3）事业单位上年度12月份基本工资</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7、其他工资福利支出</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2160201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30199</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人事代理人员工资</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2160201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30199</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人事代理人员社保缴费和住房公积金</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2160201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30199</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其他编外人员工资</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2160201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30199</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其他编外人员社保缴费和住房公积金</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2160201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30199</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病假两个月以上期间的人员工资</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2160201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30199</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教师超工作量津贴</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2160201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30199</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各种加班工资</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2160201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30199</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预留人员经费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二、对个人和家庭的补助</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133.77</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133.77</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1、离休费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71.68</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71.68</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2160201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30301</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1）离休人员取暖补贴</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12.97</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12.97</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2160201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30301</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2）离休人员物业服务补贴</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4.52</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4.52</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2160201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30301</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3）其他离休费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54.19</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54.19</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2、退休费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56.97</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56.97</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2160201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30302</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1）退休人员取暖补贴</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40.35</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40.35</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2160201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30302</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2）退休人员物业服务补贴</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12.68</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12.68</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2160201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30302</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3）其他退休费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3.94</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3.94</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2160201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30304</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3、抚恤金</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2160201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30305</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4、生活补助</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4.99</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4.99</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2160201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30307</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5、医疗费补助</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2160201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30308</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6、助学金</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7、奖励金</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0.13</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0.13</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2160201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30309</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1）独生子女父母奖励</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0.13</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0.13</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2160201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30309</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2）其他奖励金</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2160201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30399</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8、其他对个人和家庭的补助支出</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bl>
    <w:p/>
    <w:p>
      <w:pPr>
        <w:spacing w:line="360" w:lineRule="auto"/>
        <w:jc w:val="left"/>
        <w:rPr>
          <w:rFonts w:ascii="宋体" w:hAnsi="宋体" w:eastAsia="宋体"/>
          <w:b/>
          <w:color w:val="000000"/>
          <w:sz w:val="28"/>
        </w:rPr>
        <w:sectPr>
          <w:pgSz w:w="16838" w:h="11906" w:orient="landscape"/>
          <w:pgMar w:top="1800" w:right="1440" w:bottom="1800" w:left="1440" w:header="851" w:footer="992" w:gutter="0"/>
          <w:cols w:space="425" w:num="1"/>
          <w:docGrid w:type="lines" w:linePitch="312" w:charSpace="0"/>
        </w:sectPr>
      </w:pPr>
    </w:p>
    <w:p>
      <w:pPr>
        <w:jc w:val="center"/>
        <w:rPr>
          <w:rFonts w:hint="eastAsia" w:ascii="黑体" w:hAnsi="黑体" w:eastAsia="黑体"/>
          <w:b/>
          <w:sz w:val="32"/>
          <w:szCs w:val="32"/>
        </w:rPr>
      </w:pPr>
      <w:r>
        <w:rPr>
          <w:rFonts w:hint="eastAsia" w:ascii="黑体" w:hAnsi="黑体" w:eastAsia="黑体"/>
          <w:b/>
          <w:sz w:val="32"/>
          <w:szCs w:val="32"/>
        </w:rPr>
        <w:t>单位正常公用经费支出安排表</w:t>
      </w:r>
    </w:p>
    <w:tbl>
      <w:tblPr>
        <w:tblStyle w:val="9"/>
        <w:tblW w:w="14016" w:type="dxa"/>
        <w:tblInd w:w="93" w:type="dxa"/>
        <w:tblLayout w:type="autofit"/>
        <w:tblCellMar>
          <w:top w:w="0" w:type="dxa"/>
          <w:left w:w="108" w:type="dxa"/>
          <w:bottom w:w="0" w:type="dxa"/>
          <w:right w:w="108" w:type="dxa"/>
        </w:tblCellMar>
      </w:tblPr>
      <w:tblGrid>
        <w:gridCol w:w="1291"/>
        <w:gridCol w:w="1276"/>
        <w:gridCol w:w="3969"/>
        <w:gridCol w:w="1276"/>
        <w:gridCol w:w="1417"/>
        <w:gridCol w:w="1418"/>
        <w:gridCol w:w="254"/>
        <w:gridCol w:w="1163"/>
        <w:gridCol w:w="992"/>
        <w:gridCol w:w="960"/>
      </w:tblGrid>
      <w:tr>
        <w:tblPrEx>
          <w:tblCellMar>
            <w:top w:w="0" w:type="dxa"/>
            <w:left w:w="108" w:type="dxa"/>
            <w:bottom w:w="0" w:type="dxa"/>
            <w:right w:w="108" w:type="dxa"/>
          </w:tblCellMar>
        </w:tblPrEx>
        <w:trPr>
          <w:cantSplit/>
          <w:trHeight w:val="293" w:hRule="atLeast"/>
          <w:tblHeader/>
        </w:trPr>
        <w:tc>
          <w:tcPr>
            <w:tcW w:w="10901" w:type="dxa"/>
            <w:gridSpan w:val="7"/>
            <w:tcBorders>
              <w:top w:val="nil"/>
              <w:left w:val="nil"/>
              <w:bottom w:val="single" w:color="auto" w:sz="4" w:space="0"/>
              <w:right w:val="nil"/>
            </w:tcBorders>
            <w:shd w:val="clear" w:color="auto" w:fill="auto"/>
            <w:noWrap/>
            <w:vAlign w:val="bottom"/>
          </w:tcPr>
          <w:p>
            <w:pPr>
              <w:widowControl/>
              <w:jc w:val="left"/>
              <w:rPr>
                <w:rFonts w:ascii="宋体" w:hAnsi="宋体" w:cs="宋体"/>
                <w:color w:val="000000"/>
                <w:kern w:val="0"/>
                <w:sz w:val="28"/>
                <w:szCs w:val="28"/>
              </w:rPr>
            </w:pPr>
            <w:r>
              <w:rPr>
                <w:rFonts w:ascii="宋体" w:hAnsi="宋体" w:cs="宋体"/>
                <w:color w:val="000000"/>
                <w:kern w:val="0"/>
                <w:sz w:val="28"/>
                <w:szCs w:val="28"/>
              </w:rPr>
              <w:t>620002唐山市供销合作总社</w:t>
            </w:r>
          </w:p>
        </w:tc>
        <w:tc>
          <w:tcPr>
            <w:tcW w:w="3115" w:type="dxa"/>
            <w:gridSpan w:val="3"/>
            <w:tcBorders>
              <w:top w:val="nil"/>
              <w:left w:val="nil"/>
              <w:bottom w:val="single" w:color="auto" w:sz="4" w:space="0"/>
              <w:right w:val="nil"/>
            </w:tcBorders>
            <w:shd w:val="clear" w:color="auto" w:fill="auto"/>
            <w:noWrap/>
            <w:vAlign w:val="bottom"/>
          </w:tcPr>
          <w:p>
            <w:pPr>
              <w:widowControl/>
              <w:jc w:val="right"/>
              <w:rPr>
                <w:rFonts w:ascii="宋体" w:hAnsi="宋体" w:cs="宋体"/>
                <w:color w:val="000000"/>
                <w:kern w:val="0"/>
                <w:sz w:val="28"/>
                <w:szCs w:val="28"/>
              </w:rPr>
            </w:pPr>
            <w:r>
              <w:rPr>
                <w:rFonts w:hint="eastAsia" w:ascii="宋体" w:hAnsi="宋体" w:cs="宋体"/>
                <w:color w:val="000000"/>
                <w:kern w:val="0"/>
                <w:sz w:val="28"/>
                <w:szCs w:val="28"/>
              </w:rPr>
              <w:t>单位：万元</w:t>
            </w:r>
          </w:p>
        </w:tc>
      </w:tr>
      <w:tr>
        <w:tblPrEx>
          <w:tblCellMar>
            <w:top w:w="0" w:type="dxa"/>
            <w:left w:w="108" w:type="dxa"/>
            <w:bottom w:w="0" w:type="dxa"/>
            <w:right w:w="108" w:type="dxa"/>
          </w:tblCellMar>
        </w:tblPrEx>
        <w:trPr>
          <w:cantSplit/>
          <w:trHeight w:val="293" w:hRule="atLeast"/>
          <w:tblHeader/>
        </w:trPr>
        <w:tc>
          <w:tcPr>
            <w:tcW w:w="129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功能分类科目编码</w:t>
            </w:r>
          </w:p>
        </w:tc>
        <w:tc>
          <w:tcPr>
            <w:tcW w:w="127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经济分类科目编码</w:t>
            </w:r>
          </w:p>
        </w:tc>
        <w:tc>
          <w:tcPr>
            <w:tcW w:w="396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预算支出项目</w:t>
            </w:r>
          </w:p>
        </w:tc>
        <w:tc>
          <w:tcPr>
            <w:tcW w:w="7480" w:type="dxa"/>
            <w:gridSpan w:val="7"/>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经 费 来 源</w:t>
            </w:r>
          </w:p>
        </w:tc>
      </w:tr>
      <w:tr>
        <w:tblPrEx>
          <w:tblCellMar>
            <w:top w:w="0" w:type="dxa"/>
            <w:left w:w="108" w:type="dxa"/>
            <w:bottom w:w="0" w:type="dxa"/>
            <w:right w:w="108" w:type="dxa"/>
          </w:tblCellMar>
        </w:tblPrEx>
        <w:trPr>
          <w:cantSplit/>
          <w:trHeight w:val="339" w:hRule="atLeast"/>
          <w:tblHeader/>
        </w:trPr>
        <w:tc>
          <w:tcPr>
            <w:tcW w:w="129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p>
        </w:tc>
        <w:tc>
          <w:tcPr>
            <w:tcW w:w="3969"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p>
        </w:tc>
        <w:tc>
          <w:tcPr>
            <w:tcW w:w="127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合 计</w:t>
            </w:r>
          </w:p>
        </w:tc>
        <w:tc>
          <w:tcPr>
            <w:tcW w:w="141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一般公共预算拨款安排</w:t>
            </w:r>
          </w:p>
        </w:tc>
        <w:tc>
          <w:tcPr>
            <w:tcW w:w="141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政府性基金预算拨款安排</w:t>
            </w:r>
          </w:p>
        </w:tc>
        <w:tc>
          <w:tcPr>
            <w:tcW w:w="1417"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国有资本经营预算拨款安排</w:t>
            </w: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其他来源收入安排</w:t>
            </w:r>
          </w:p>
        </w:tc>
        <w:tc>
          <w:tcPr>
            <w:tcW w:w="96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高中及其以上教育收费</w:t>
            </w:r>
          </w:p>
        </w:tc>
      </w:tr>
      <w:tr>
        <w:tblPrEx>
          <w:tblCellMar>
            <w:top w:w="0" w:type="dxa"/>
            <w:left w:w="108" w:type="dxa"/>
            <w:bottom w:w="0" w:type="dxa"/>
            <w:right w:w="108" w:type="dxa"/>
          </w:tblCellMar>
        </w:tblPrEx>
        <w:trPr>
          <w:cantSplit/>
          <w:trHeight w:val="339" w:hRule="atLeast"/>
          <w:tblHeader/>
        </w:trPr>
        <w:tc>
          <w:tcPr>
            <w:tcW w:w="12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39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41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blHeader/>
        </w:trPr>
        <w:tc>
          <w:tcPr>
            <w:tcW w:w="129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2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396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2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正常公用经费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105.74</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105.74</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一、定额安排公用经费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62.39</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62.39</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2160201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30201</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1、办公费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2.42</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2.42</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2、邮电费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19.44</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19.44</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2160201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30207</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1）单位邮电费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2.33</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2.33</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2160201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30207</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2）通讯费补贴</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17.11</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17.11</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2160201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30211</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3、差旅费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4.74</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4.74</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2160201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30209</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4、物业管理费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1.65</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1.65</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2160201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30213</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5、维修（护）费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0.95</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0.95</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2160201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30231</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6、公务用车运行维护费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9.02</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9.02</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2160201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30239</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7、公务交通补贴</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23.84</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23.84</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2160201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30299</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8、其他商品和服务支出</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0.33</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0.33</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二、按规定比例提取安排公用经费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25.25</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25.25</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2050803</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30216</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1、培训费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2.60</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2.60</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2160201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30217</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2、公务接待费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0.58</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0.58</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2160201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30228</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3、工会经费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3.12</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3.12</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2160201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30229</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4、福利费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3.48</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3.48</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5、其他</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15.47</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15.47</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2160201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30299</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1）离休人员福利费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1.83</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1.83</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2160201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30299</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2）退休人员福利费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4.94</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4.94</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2160201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30299</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3）离休干部公用经费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1.90</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1.90</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2160201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30299</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4）离休干部特需费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1.90</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1.90</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2160201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30299</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5）退休干部公用经费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2.94</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2.94</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2160201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30299</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6）退休干部特需费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1.96</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1.96</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三、非定额安排公用经费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18.10</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18.10</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2160201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30205</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1、水费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0.20</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0.20</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2160201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30206</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2、电费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10.90</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10.90</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2160201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30208</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3、取暖费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7.00</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7.00</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bl>
    <w:p/>
    <w:p>
      <w:pPr>
        <w:spacing w:line="360" w:lineRule="auto"/>
        <w:jc w:val="left"/>
        <w:rPr>
          <w:rFonts w:ascii="宋体" w:hAnsi="宋体" w:eastAsia="宋体"/>
          <w:b/>
          <w:color w:val="000000"/>
          <w:sz w:val="28"/>
        </w:rPr>
        <w:sectPr>
          <w:pgSz w:w="16838" w:h="11906" w:orient="landscape"/>
          <w:pgMar w:top="1800" w:right="1440" w:bottom="1800" w:left="1440" w:header="851" w:footer="992" w:gutter="0"/>
          <w:cols w:space="425" w:num="1"/>
          <w:docGrid w:type="lines" w:linePitch="312" w:charSpace="0"/>
        </w:sectPr>
      </w:pPr>
    </w:p>
    <w:p>
      <w:pPr>
        <w:jc w:val="center"/>
        <w:rPr>
          <w:rFonts w:hint="eastAsia" w:ascii="黑体" w:eastAsia="黑体"/>
          <w:b/>
          <w:sz w:val="32"/>
          <w:szCs w:val="32"/>
        </w:rPr>
      </w:pPr>
      <w:r>
        <w:rPr>
          <w:rFonts w:hint="eastAsia" w:ascii="黑体" w:eastAsia="黑体"/>
          <w:b/>
          <w:sz w:val="32"/>
          <w:szCs w:val="32"/>
        </w:rPr>
        <w:t>单位专项项目支出安排表</w:t>
      </w:r>
    </w:p>
    <w:tbl>
      <w:tblPr>
        <w:tblStyle w:val="9"/>
        <w:tblW w:w="14281" w:type="dxa"/>
        <w:tblInd w:w="93" w:type="dxa"/>
        <w:tblLayout w:type="autofit"/>
        <w:tblCellMar>
          <w:top w:w="0" w:type="dxa"/>
          <w:left w:w="108" w:type="dxa"/>
          <w:bottom w:w="0" w:type="dxa"/>
          <w:right w:w="108" w:type="dxa"/>
        </w:tblCellMar>
      </w:tblPr>
      <w:tblGrid>
        <w:gridCol w:w="4126"/>
        <w:gridCol w:w="1418"/>
        <w:gridCol w:w="992"/>
        <w:gridCol w:w="992"/>
        <w:gridCol w:w="1276"/>
        <w:gridCol w:w="1134"/>
        <w:gridCol w:w="1134"/>
        <w:gridCol w:w="353"/>
        <w:gridCol w:w="781"/>
        <w:gridCol w:w="992"/>
        <w:gridCol w:w="1083"/>
      </w:tblGrid>
      <w:tr>
        <w:tblPrEx>
          <w:tblCellMar>
            <w:top w:w="0" w:type="dxa"/>
            <w:left w:w="108" w:type="dxa"/>
            <w:bottom w:w="0" w:type="dxa"/>
            <w:right w:w="108" w:type="dxa"/>
          </w:tblCellMar>
        </w:tblPrEx>
        <w:trPr>
          <w:cantSplit/>
          <w:trHeight w:val="255" w:hRule="atLeast"/>
          <w:tblHeader/>
        </w:trPr>
        <w:tc>
          <w:tcPr>
            <w:tcW w:w="11425" w:type="dxa"/>
            <w:gridSpan w:val="8"/>
            <w:tcBorders>
              <w:top w:val="nil"/>
              <w:left w:val="nil"/>
              <w:bottom w:val="single" w:color="auto" w:sz="4" w:space="0"/>
              <w:right w:val="nil"/>
            </w:tcBorders>
            <w:shd w:val="clear" w:color="auto" w:fill="auto"/>
            <w:noWrap/>
            <w:vAlign w:val="bottom"/>
          </w:tcPr>
          <w:p>
            <w:pPr>
              <w:widowControl/>
              <w:jc w:val="left"/>
              <w:rPr>
                <w:rFonts w:ascii="宋体" w:hAnsi="宋体" w:cs="宋体"/>
                <w:color w:val="000000"/>
                <w:kern w:val="0"/>
                <w:sz w:val="22"/>
              </w:rPr>
            </w:pPr>
            <w:r>
              <w:rPr>
                <w:rFonts w:ascii="宋体" w:hAnsi="宋体" w:cs="宋体"/>
                <w:color w:val="000000"/>
                <w:kern w:val="0"/>
                <w:sz w:val="22"/>
              </w:rPr>
              <w:t>620002唐山市供销合作总社</w:t>
            </w:r>
          </w:p>
        </w:tc>
        <w:tc>
          <w:tcPr>
            <w:tcW w:w="2856" w:type="dxa"/>
            <w:gridSpan w:val="3"/>
            <w:tcBorders>
              <w:top w:val="nil"/>
              <w:left w:val="nil"/>
              <w:bottom w:val="single" w:color="auto" w:sz="4" w:space="0"/>
              <w:right w:val="nil"/>
            </w:tcBorders>
            <w:shd w:val="clear" w:color="auto" w:fill="auto"/>
            <w:noWrap/>
            <w:vAlign w:val="bottom"/>
          </w:tcPr>
          <w:p>
            <w:pPr>
              <w:widowControl/>
              <w:jc w:val="right"/>
              <w:rPr>
                <w:rFonts w:ascii="宋体" w:hAnsi="宋体" w:cs="宋体"/>
                <w:color w:val="000000"/>
                <w:kern w:val="0"/>
                <w:sz w:val="22"/>
              </w:rPr>
            </w:pPr>
            <w:r>
              <w:rPr>
                <w:rFonts w:hint="eastAsia" w:ascii="宋体" w:hAnsi="宋体" w:cs="宋体"/>
                <w:color w:val="000000"/>
                <w:kern w:val="0"/>
                <w:sz w:val="22"/>
              </w:rPr>
              <w:t>单位：万元</w:t>
            </w:r>
          </w:p>
        </w:tc>
      </w:tr>
      <w:tr>
        <w:tblPrEx>
          <w:tblCellMar>
            <w:top w:w="0" w:type="dxa"/>
            <w:left w:w="108" w:type="dxa"/>
            <w:bottom w:w="0" w:type="dxa"/>
            <w:right w:w="108" w:type="dxa"/>
          </w:tblCellMar>
        </w:tblPrEx>
        <w:trPr>
          <w:cantSplit/>
          <w:trHeight w:val="255" w:hRule="atLeast"/>
          <w:tblHeader/>
        </w:trPr>
        <w:tc>
          <w:tcPr>
            <w:tcW w:w="412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项目名称</w:t>
            </w:r>
          </w:p>
        </w:tc>
        <w:tc>
          <w:tcPr>
            <w:tcW w:w="141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功能分类科目编码</w:t>
            </w:r>
          </w:p>
        </w:tc>
        <w:tc>
          <w:tcPr>
            <w:tcW w:w="198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项目类型</w:t>
            </w:r>
          </w:p>
        </w:tc>
        <w:tc>
          <w:tcPr>
            <w:tcW w:w="6753" w:type="dxa"/>
            <w:gridSpan w:val="7"/>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经 费 来 源</w:t>
            </w:r>
          </w:p>
        </w:tc>
      </w:tr>
      <w:tr>
        <w:tblPrEx>
          <w:tblCellMar>
            <w:top w:w="0" w:type="dxa"/>
            <w:left w:w="108" w:type="dxa"/>
            <w:bottom w:w="0" w:type="dxa"/>
            <w:right w:w="108" w:type="dxa"/>
          </w:tblCellMar>
        </w:tblPrEx>
        <w:trPr>
          <w:cantSplit/>
          <w:trHeight w:val="312" w:hRule="atLeast"/>
          <w:tblHeader/>
        </w:trPr>
        <w:tc>
          <w:tcPr>
            <w:tcW w:w="412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大类</w:t>
            </w: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小类</w:t>
            </w:r>
          </w:p>
        </w:tc>
        <w:tc>
          <w:tcPr>
            <w:tcW w:w="127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合 计</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一般公共预算拨款安排</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政府性基金预算拨款安排</w:t>
            </w:r>
          </w:p>
        </w:tc>
        <w:tc>
          <w:tcPr>
            <w:tcW w:w="1134"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国有资本经营预算拨款安排</w:t>
            </w: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其他来源收入安排</w:t>
            </w:r>
          </w:p>
        </w:tc>
        <w:tc>
          <w:tcPr>
            <w:tcW w:w="108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高中及其以上教育收费</w:t>
            </w:r>
          </w:p>
        </w:tc>
      </w:tr>
      <w:tr>
        <w:tblPrEx>
          <w:tblCellMar>
            <w:top w:w="0" w:type="dxa"/>
            <w:left w:w="108" w:type="dxa"/>
            <w:bottom w:w="0" w:type="dxa"/>
            <w:right w:w="108" w:type="dxa"/>
          </w:tblCellMar>
        </w:tblPrEx>
        <w:trPr>
          <w:cantSplit/>
          <w:trHeight w:val="312" w:hRule="atLeast"/>
          <w:tblHeader/>
        </w:trPr>
        <w:tc>
          <w:tcPr>
            <w:tcW w:w="41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13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tblHeader/>
        </w:trPr>
        <w:tc>
          <w:tcPr>
            <w:tcW w:w="412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41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2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1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1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1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08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trPr>
        <w:tc>
          <w:tcPr>
            <w:tcW w:w="41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专项项目经费</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50.00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50.00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0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trPr>
        <w:tc>
          <w:tcPr>
            <w:tcW w:w="41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农村产权流转交易中心运营经费</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2130799</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99-其他项目</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9901 其他</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50.00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50.00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0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bl>
    <w:p/>
    <w:p>
      <w:pPr>
        <w:spacing w:line="360" w:lineRule="auto"/>
        <w:jc w:val="left"/>
        <w:rPr>
          <w:rFonts w:ascii="宋体" w:hAnsi="宋体" w:eastAsia="宋体"/>
          <w:b/>
          <w:color w:val="000000"/>
          <w:sz w:val="28"/>
        </w:rPr>
        <w:sectPr>
          <w:pgSz w:w="16838" w:h="11906" w:orient="landscape"/>
          <w:pgMar w:top="1800" w:right="1440" w:bottom="1800" w:left="1440" w:header="851" w:footer="992" w:gutter="0"/>
          <w:cols w:space="425" w:num="1"/>
          <w:docGrid w:type="lines" w:linePitch="312" w:charSpace="0"/>
        </w:sectPr>
      </w:pPr>
    </w:p>
    <w:p>
      <w:pPr>
        <w:jc w:val="center"/>
        <w:rPr>
          <w:rFonts w:hint="eastAsia" w:ascii="黑体" w:hAnsi="黑体" w:eastAsia="黑体"/>
          <w:b/>
          <w:sz w:val="32"/>
          <w:szCs w:val="32"/>
        </w:rPr>
      </w:pPr>
      <w:r>
        <w:rPr>
          <w:rFonts w:hint="eastAsia" w:ascii="黑体" w:hAnsi="黑体" w:eastAsia="黑体"/>
          <w:b/>
          <w:sz w:val="32"/>
          <w:szCs w:val="32"/>
        </w:rPr>
        <w:t>“三公”及会议培训经费预算</w:t>
      </w:r>
    </w:p>
    <w:tbl>
      <w:tblPr>
        <w:tblStyle w:val="9"/>
        <w:tblW w:w="14070" w:type="dxa"/>
        <w:tblInd w:w="93" w:type="dxa"/>
        <w:tblLayout w:type="autofit"/>
        <w:tblCellMar>
          <w:top w:w="0" w:type="dxa"/>
          <w:left w:w="108" w:type="dxa"/>
          <w:bottom w:w="0" w:type="dxa"/>
          <w:right w:w="108" w:type="dxa"/>
        </w:tblCellMar>
      </w:tblPr>
      <w:tblGrid>
        <w:gridCol w:w="5402"/>
        <w:gridCol w:w="1701"/>
        <w:gridCol w:w="1559"/>
        <w:gridCol w:w="1388"/>
        <w:gridCol w:w="171"/>
        <w:gridCol w:w="1418"/>
        <w:gridCol w:w="1276"/>
        <w:gridCol w:w="1155"/>
      </w:tblGrid>
      <w:tr>
        <w:tblPrEx>
          <w:tblCellMar>
            <w:top w:w="0" w:type="dxa"/>
            <w:left w:w="108" w:type="dxa"/>
            <w:bottom w:w="0" w:type="dxa"/>
            <w:right w:w="108" w:type="dxa"/>
          </w:tblCellMar>
        </w:tblPrEx>
        <w:trPr>
          <w:cantSplit/>
          <w:trHeight w:val="262" w:hRule="atLeast"/>
          <w:tblHeader/>
        </w:trPr>
        <w:tc>
          <w:tcPr>
            <w:tcW w:w="10050" w:type="dxa"/>
            <w:gridSpan w:val="4"/>
            <w:tcBorders>
              <w:top w:val="nil"/>
              <w:left w:val="nil"/>
              <w:bottom w:val="single" w:color="auto" w:sz="4" w:space="0"/>
              <w:right w:val="nil"/>
            </w:tcBorders>
            <w:shd w:val="clear" w:color="auto" w:fill="auto"/>
            <w:noWrap/>
            <w:vAlign w:val="bottom"/>
          </w:tcPr>
          <w:p>
            <w:pPr>
              <w:widowControl/>
              <w:jc w:val="left"/>
              <w:rPr>
                <w:rFonts w:ascii="宋体" w:hAnsi="宋体" w:cs="宋体"/>
                <w:color w:val="000000"/>
                <w:kern w:val="0"/>
                <w:sz w:val="28"/>
                <w:szCs w:val="28"/>
              </w:rPr>
            </w:pPr>
            <w:r>
              <w:rPr>
                <w:rFonts w:ascii="宋体" w:hAnsi="宋体" w:cs="宋体"/>
                <w:color w:val="000000"/>
                <w:kern w:val="0"/>
                <w:sz w:val="28"/>
                <w:szCs w:val="28"/>
              </w:rPr>
              <w:t>620002唐山市供销合作总社</w:t>
            </w:r>
          </w:p>
        </w:tc>
        <w:tc>
          <w:tcPr>
            <w:tcW w:w="4020" w:type="dxa"/>
            <w:gridSpan w:val="4"/>
            <w:tcBorders>
              <w:top w:val="nil"/>
              <w:left w:val="nil"/>
              <w:bottom w:val="single" w:color="auto" w:sz="4" w:space="0"/>
              <w:right w:val="nil"/>
            </w:tcBorders>
            <w:shd w:val="clear" w:color="auto" w:fill="auto"/>
            <w:noWrap/>
            <w:vAlign w:val="bottom"/>
          </w:tcPr>
          <w:p>
            <w:pPr>
              <w:widowControl/>
              <w:jc w:val="right"/>
              <w:rPr>
                <w:rFonts w:ascii="宋体" w:hAnsi="宋体" w:cs="宋体"/>
                <w:color w:val="000000"/>
                <w:kern w:val="0"/>
                <w:sz w:val="28"/>
                <w:szCs w:val="28"/>
              </w:rPr>
            </w:pPr>
            <w:r>
              <w:rPr>
                <w:rFonts w:hint="eastAsia" w:ascii="宋体" w:hAnsi="宋体" w:cs="宋体"/>
                <w:color w:val="000000"/>
                <w:kern w:val="0"/>
                <w:sz w:val="28"/>
                <w:szCs w:val="28"/>
              </w:rPr>
              <w:t>单位：万元</w:t>
            </w:r>
          </w:p>
        </w:tc>
      </w:tr>
      <w:tr>
        <w:tblPrEx>
          <w:tblCellMar>
            <w:top w:w="0" w:type="dxa"/>
            <w:left w:w="108" w:type="dxa"/>
            <w:bottom w:w="0" w:type="dxa"/>
            <w:right w:w="108" w:type="dxa"/>
          </w:tblCellMar>
        </w:tblPrEx>
        <w:trPr>
          <w:cantSplit/>
          <w:trHeight w:val="262" w:hRule="atLeast"/>
          <w:tblHeader/>
        </w:trPr>
        <w:tc>
          <w:tcPr>
            <w:tcW w:w="540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Arial"/>
                <w:b/>
                <w:bCs/>
                <w:kern w:val="0"/>
                <w:szCs w:val="21"/>
              </w:rPr>
              <w:t>支出内容</w:t>
            </w:r>
          </w:p>
        </w:tc>
        <w:tc>
          <w:tcPr>
            <w:tcW w:w="8668" w:type="dxa"/>
            <w:gridSpan w:val="7"/>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经费来源</w:t>
            </w:r>
          </w:p>
        </w:tc>
      </w:tr>
      <w:tr>
        <w:tblPrEx>
          <w:tblCellMar>
            <w:top w:w="0" w:type="dxa"/>
            <w:left w:w="108" w:type="dxa"/>
            <w:bottom w:w="0" w:type="dxa"/>
            <w:right w:w="108" w:type="dxa"/>
          </w:tblCellMar>
        </w:tblPrEx>
        <w:trPr>
          <w:cantSplit/>
          <w:trHeight w:val="312" w:hRule="atLeast"/>
          <w:tblHeader/>
        </w:trPr>
        <w:tc>
          <w:tcPr>
            <w:tcW w:w="540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p>
        </w:tc>
        <w:tc>
          <w:tcPr>
            <w:tcW w:w="170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合计</w:t>
            </w:r>
          </w:p>
        </w:tc>
        <w:tc>
          <w:tcPr>
            <w:tcW w:w="155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一般公共预算拨款安排</w:t>
            </w:r>
          </w:p>
        </w:tc>
        <w:tc>
          <w:tcPr>
            <w:tcW w:w="1559"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政府性基金预算拨款安排</w:t>
            </w:r>
          </w:p>
        </w:tc>
        <w:tc>
          <w:tcPr>
            <w:tcW w:w="141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国有资本经营预算拨款安排</w:t>
            </w:r>
          </w:p>
        </w:tc>
        <w:tc>
          <w:tcPr>
            <w:tcW w:w="127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其他来源收入安排</w:t>
            </w:r>
          </w:p>
        </w:tc>
        <w:tc>
          <w:tcPr>
            <w:tcW w:w="115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高中及其以上教育收费</w:t>
            </w:r>
          </w:p>
        </w:tc>
      </w:tr>
      <w:tr>
        <w:tblPrEx>
          <w:tblCellMar>
            <w:top w:w="0" w:type="dxa"/>
            <w:left w:w="108" w:type="dxa"/>
            <w:bottom w:w="0" w:type="dxa"/>
            <w:right w:w="108" w:type="dxa"/>
          </w:tblCellMar>
        </w:tblPrEx>
        <w:trPr>
          <w:cantSplit/>
          <w:trHeight w:val="312" w:hRule="atLeast"/>
          <w:tblHeader/>
        </w:trPr>
        <w:tc>
          <w:tcPr>
            <w:tcW w:w="540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55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15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tblHeader/>
        </w:trPr>
        <w:tc>
          <w:tcPr>
            <w:tcW w:w="54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5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559"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15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tblHeader/>
        </w:trPr>
        <w:tc>
          <w:tcPr>
            <w:tcW w:w="54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一、“三公”经费小计</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9.60</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9.60</w:t>
            </w:r>
          </w:p>
        </w:tc>
        <w:tc>
          <w:tcPr>
            <w:tcW w:w="155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trPr>
        <w:tc>
          <w:tcPr>
            <w:tcW w:w="54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（二）公务用车购置及运维费</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9.02</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9.02</w:t>
            </w:r>
          </w:p>
        </w:tc>
        <w:tc>
          <w:tcPr>
            <w:tcW w:w="155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trPr>
        <w:tc>
          <w:tcPr>
            <w:tcW w:w="54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公务用车运行维护费</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9.02</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9.02</w:t>
            </w:r>
          </w:p>
        </w:tc>
        <w:tc>
          <w:tcPr>
            <w:tcW w:w="155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trPr>
        <w:tc>
          <w:tcPr>
            <w:tcW w:w="54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（三）公务接待费</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0.58</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0.58</w:t>
            </w:r>
          </w:p>
        </w:tc>
        <w:tc>
          <w:tcPr>
            <w:tcW w:w="155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trPr>
        <w:tc>
          <w:tcPr>
            <w:tcW w:w="54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二、会议费</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1.82</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1.82</w:t>
            </w:r>
          </w:p>
        </w:tc>
        <w:tc>
          <w:tcPr>
            <w:tcW w:w="155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trPr>
        <w:tc>
          <w:tcPr>
            <w:tcW w:w="54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三、培训费</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2.60</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2.60</w:t>
            </w:r>
          </w:p>
        </w:tc>
        <w:tc>
          <w:tcPr>
            <w:tcW w:w="155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trPr>
        <w:tc>
          <w:tcPr>
            <w:tcW w:w="54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合计</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14.02</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14.02</w:t>
            </w:r>
          </w:p>
        </w:tc>
        <w:tc>
          <w:tcPr>
            <w:tcW w:w="155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bl>
    <w:p>
      <w:pPr>
        <w:spacing w:line="20" w:lineRule="exact"/>
        <w:rPr>
          <w:rFonts w:hint="eastAsia"/>
        </w:rPr>
      </w:pPr>
    </w:p>
    <w:p>
      <w:pPr>
        <w:spacing w:line="20" w:lineRule="exact"/>
        <w:rPr>
          <w:rFonts w:hint="eastAsia"/>
        </w:rPr>
      </w:pPr>
    </w:p>
    <w:p>
      <w:pPr>
        <w:spacing w:line="20" w:lineRule="exact"/>
        <w:rPr>
          <w:rFonts w:hint="eastAsia"/>
        </w:rPr>
      </w:pPr>
    </w:p>
    <w:p>
      <w:pPr>
        <w:spacing w:line="20" w:lineRule="exact"/>
        <w:rPr>
          <w:rFonts w:hint="eastAsia"/>
        </w:rPr>
      </w:pPr>
    </w:p>
    <w:p>
      <w:pPr>
        <w:spacing w:line="20" w:lineRule="exact"/>
      </w:pPr>
    </w:p>
    <w:p>
      <w:pPr>
        <w:spacing w:line="360" w:lineRule="auto"/>
        <w:jc w:val="left"/>
        <w:rPr>
          <w:rFonts w:ascii="宋体" w:hAnsi="宋体" w:eastAsia="宋体"/>
          <w:b/>
          <w:color w:val="000000"/>
          <w:sz w:val="28"/>
        </w:rPr>
        <w:sectPr>
          <w:headerReference r:id="rId16" w:type="default"/>
          <w:pgSz w:w="16838" w:h="11906" w:orient="landscape"/>
          <w:pgMar w:top="1800" w:right="1440" w:bottom="1800" w:left="1440" w:header="851" w:footer="992" w:gutter="0"/>
          <w:cols w:space="425" w:num="1"/>
          <w:docGrid w:type="lines" w:linePitch="312" w:charSpace="0"/>
        </w:sectPr>
      </w:pPr>
    </w:p>
    <w:p>
      <w:pPr>
        <w:jc w:val="center"/>
        <w:rPr>
          <w:rFonts w:hint="eastAsia" w:ascii="黑体" w:eastAsia="黑体"/>
          <w:b/>
          <w:sz w:val="32"/>
          <w:szCs w:val="32"/>
        </w:rPr>
      </w:pPr>
      <w:r>
        <w:rPr>
          <w:rFonts w:hint="eastAsia" w:ascii="黑体" w:eastAsia="黑体"/>
          <w:b/>
          <w:sz w:val="32"/>
          <w:szCs w:val="32"/>
        </w:rPr>
        <w:t>单位专项公用经费支出安排表</w:t>
      </w:r>
    </w:p>
    <w:tbl>
      <w:tblPr>
        <w:tblStyle w:val="9"/>
        <w:tblW w:w="14139" w:type="dxa"/>
        <w:tblInd w:w="93" w:type="dxa"/>
        <w:tblLayout w:type="autofit"/>
        <w:tblCellMar>
          <w:top w:w="0" w:type="dxa"/>
          <w:left w:w="108" w:type="dxa"/>
          <w:bottom w:w="0" w:type="dxa"/>
          <w:right w:w="108" w:type="dxa"/>
        </w:tblCellMar>
      </w:tblPr>
      <w:tblGrid>
        <w:gridCol w:w="1767"/>
        <w:gridCol w:w="1767"/>
        <w:gridCol w:w="1767"/>
        <w:gridCol w:w="1767"/>
        <w:gridCol w:w="1767"/>
        <w:gridCol w:w="1769"/>
        <w:gridCol w:w="1767"/>
        <w:gridCol w:w="1768"/>
      </w:tblGrid>
      <w:tr>
        <w:tblPrEx>
          <w:tblCellMar>
            <w:top w:w="0" w:type="dxa"/>
            <w:left w:w="108" w:type="dxa"/>
            <w:bottom w:w="0" w:type="dxa"/>
            <w:right w:w="108" w:type="dxa"/>
          </w:tblCellMar>
        </w:tblPrEx>
        <w:trPr>
          <w:cantSplit/>
          <w:trHeight w:val="260" w:hRule="atLeast"/>
          <w:tblHeader/>
        </w:trPr>
        <w:tc>
          <w:tcPr>
            <w:tcW w:w="10604" w:type="dxa"/>
            <w:gridSpan w:val="6"/>
            <w:tcBorders>
              <w:top w:val="nil"/>
              <w:left w:val="nil"/>
              <w:bottom w:val="single" w:color="auto" w:sz="4" w:space="0"/>
              <w:right w:val="nil"/>
            </w:tcBorders>
            <w:shd w:val="clear" w:color="auto" w:fill="auto"/>
            <w:noWrap/>
            <w:vAlign w:val="bottom"/>
          </w:tcPr>
          <w:p>
            <w:pPr>
              <w:widowControl/>
              <w:jc w:val="left"/>
              <w:rPr>
                <w:rFonts w:ascii="宋体" w:hAnsi="宋体" w:cs="宋体"/>
                <w:color w:val="000000"/>
                <w:kern w:val="0"/>
                <w:sz w:val="28"/>
                <w:szCs w:val="28"/>
              </w:rPr>
            </w:pPr>
            <w:r>
              <w:rPr>
                <w:rFonts w:ascii="宋体" w:hAnsi="宋体" w:cs="宋体"/>
                <w:color w:val="000000"/>
                <w:kern w:val="0"/>
                <w:sz w:val="28"/>
                <w:szCs w:val="28"/>
              </w:rPr>
              <w:t>620002唐山市供销合作总社</w:t>
            </w:r>
          </w:p>
        </w:tc>
        <w:tc>
          <w:tcPr>
            <w:tcW w:w="3535" w:type="dxa"/>
            <w:gridSpan w:val="2"/>
            <w:tcBorders>
              <w:top w:val="nil"/>
              <w:left w:val="nil"/>
              <w:bottom w:val="single" w:color="auto" w:sz="4" w:space="0"/>
              <w:right w:val="nil"/>
            </w:tcBorders>
            <w:shd w:val="clear" w:color="auto" w:fill="auto"/>
            <w:noWrap/>
            <w:vAlign w:val="bottom"/>
          </w:tcPr>
          <w:p>
            <w:pPr>
              <w:widowControl/>
              <w:jc w:val="right"/>
              <w:rPr>
                <w:rFonts w:ascii="宋体" w:hAnsi="宋体" w:cs="宋体"/>
                <w:color w:val="000000"/>
                <w:kern w:val="0"/>
                <w:sz w:val="28"/>
                <w:szCs w:val="28"/>
              </w:rPr>
            </w:pPr>
            <w:r>
              <w:rPr>
                <w:rFonts w:hint="eastAsia" w:ascii="宋体" w:hAnsi="宋体" w:cs="宋体"/>
                <w:color w:val="000000"/>
                <w:kern w:val="0"/>
                <w:sz w:val="28"/>
                <w:szCs w:val="28"/>
              </w:rPr>
              <w:t>单位：万元</w:t>
            </w:r>
          </w:p>
        </w:tc>
      </w:tr>
      <w:tr>
        <w:tblPrEx>
          <w:tblCellMar>
            <w:top w:w="0" w:type="dxa"/>
            <w:left w:w="108" w:type="dxa"/>
            <w:bottom w:w="0" w:type="dxa"/>
            <w:right w:w="108" w:type="dxa"/>
          </w:tblCellMar>
        </w:tblPrEx>
        <w:trPr>
          <w:cantSplit/>
          <w:trHeight w:val="260" w:hRule="atLeast"/>
          <w:tblHeader/>
        </w:trPr>
        <w:tc>
          <w:tcPr>
            <w:tcW w:w="176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黑体" w:hAnsi="黑体" w:eastAsia="黑体" w:cs="宋体"/>
                <w:b/>
                <w:bCs/>
                <w:color w:val="000000"/>
                <w:kern w:val="0"/>
                <w:szCs w:val="21"/>
              </w:rPr>
              <w:t>功能分类科目编码</w:t>
            </w:r>
          </w:p>
        </w:tc>
        <w:tc>
          <w:tcPr>
            <w:tcW w:w="176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黑体" w:hAnsi="黑体" w:eastAsia="黑体" w:cs="宋体"/>
                <w:b/>
                <w:bCs/>
                <w:color w:val="000000"/>
                <w:kern w:val="0"/>
                <w:szCs w:val="21"/>
              </w:rPr>
              <w:t>预算支出项目</w:t>
            </w:r>
          </w:p>
        </w:tc>
        <w:tc>
          <w:tcPr>
            <w:tcW w:w="10605"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黑体" w:hAnsi="黑体" w:eastAsia="黑体" w:cs="宋体"/>
                <w:b/>
                <w:bCs/>
                <w:color w:val="000000"/>
                <w:kern w:val="0"/>
                <w:szCs w:val="21"/>
              </w:rPr>
              <w:t>经 费 来 源</w:t>
            </w:r>
          </w:p>
        </w:tc>
      </w:tr>
      <w:tr>
        <w:tblPrEx>
          <w:tblCellMar>
            <w:top w:w="0" w:type="dxa"/>
            <w:left w:w="108" w:type="dxa"/>
            <w:bottom w:w="0" w:type="dxa"/>
            <w:right w:w="108" w:type="dxa"/>
          </w:tblCellMar>
        </w:tblPrEx>
        <w:trPr>
          <w:cantSplit/>
          <w:trHeight w:val="312" w:hRule="atLeast"/>
          <w:tblHeader/>
        </w:trPr>
        <w:tc>
          <w:tcPr>
            <w:tcW w:w="1767"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767"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76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黑体" w:hAnsi="黑体" w:eastAsia="黑体" w:cs="宋体"/>
                <w:b/>
                <w:bCs/>
                <w:color w:val="000000"/>
                <w:kern w:val="0"/>
                <w:szCs w:val="21"/>
              </w:rPr>
              <w:t>合 计</w:t>
            </w:r>
          </w:p>
        </w:tc>
        <w:tc>
          <w:tcPr>
            <w:tcW w:w="176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黑体" w:hAnsi="黑体" w:eastAsia="黑体" w:cs="宋体"/>
                <w:b/>
                <w:bCs/>
                <w:color w:val="000000"/>
                <w:kern w:val="0"/>
                <w:szCs w:val="21"/>
              </w:rPr>
              <w:t>一般公共预算拨款安排</w:t>
            </w:r>
          </w:p>
        </w:tc>
        <w:tc>
          <w:tcPr>
            <w:tcW w:w="176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黑体" w:hAnsi="黑体" w:eastAsia="黑体" w:cs="宋体"/>
                <w:b/>
                <w:bCs/>
                <w:color w:val="000000"/>
                <w:kern w:val="0"/>
                <w:szCs w:val="21"/>
              </w:rPr>
              <w:t>政府性基金预算拨款安排</w:t>
            </w:r>
          </w:p>
        </w:tc>
        <w:tc>
          <w:tcPr>
            <w:tcW w:w="176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黑体" w:hAnsi="黑体" w:eastAsia="黑体" w:cs="宋体"/>
                <w:b/>
                <w:bCs/>
                <w:color w:val="000000"/>
                <w:kern w:val="0"/>
                <w:szCs w:val="21"/>
              </w:rPr>
              <w:t>国有资本经营预算拨款安排</w:t>
            </w:r>
          </w:p>
        </w:tc>
        <w:tc>
          <w:tcPr>
            <w:tcW w:w="176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黑体" w:hAnsi="黑体" w:eastAsia="黑体" w:cs="宋体"/>
                <w:b/>
                <w:bCs/>
                <w:color w:val="000000"/>
                <w:kern w:val="0"/>
                <w:szCs w:val="21"/>
              </w:rPr>
              <w:t>其他来源收入安排</w:t>
            </w:r>
          </w:p>
        </w:tc>
        <w:tc>
          <w:tcPr>
            <w:tcW w:w="176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黑体" w:hAnsi="黑体" w:eastAsia="黑体" w:cs="宋体"/>
                <w:b/>
                <w:bCs/>
                <w:color w:val="000000"/>
                <w:kern w:val="0"/>
                <w:szCs w:val="21"/>
              </w:rPr>
              <w:t>高中及其以上教育收费</w:t>
            </w:r>
          </w:p>
        </w:tc>
      </w:tr>
      <w:tr>
        <w:tblPrEx>
          <w:tblCellMar>
            <w:top w:w="0" w:type="dxa"/>
            <w:left w:w="108" w:type="dxa"/>
            <w:bottom w:w="0" w:type="dxa"/>
            <w:right w:w="108" w:type="dxa"/>
          </w:tblCellMar>
        </w:tblPrEx>
        <w:trPr>
          <w:cantSplit/>
          <w:trHeight w:val="312" w:hRule="atLeast"/>
          <w:tblHeader/>
        </w:trPr>
        <w:tc>
          <w:tcPr>
            <w:tcW w:w="17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7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7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7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7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7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7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tblHeader/>
        </w:trPr>
        <w:tc>
          <w:tcPr>
            <w:tcW w:w="17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7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7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7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7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76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7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7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trPr>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专项公用经费</w:t>
            </w: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3.73</w:t>
            </w: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3.73</w:t>
            </w: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7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7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trPr>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2160201</w:t>
            </w: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购置办公家具</w:t>
            </w: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1.91</w:t>
            </w: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1.91</w:t>
            </w: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7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7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trPr>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2160201</w:t>
            </w: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年度系统工作会</w:t>
            </w: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0.91</w:t>
            </w: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0.91</w:t>
            </w: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7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7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trPr>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2160201</w:t>
            </w: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重点工作调度会</w:t>
            </w: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0.91</w:t>
            </w: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0.91</w:t>
            </w: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7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7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bl>
    <w:p/>
    <w:p>
      <w:pPr>
        <w:spacing w:line="360" w:lineRule="auto"/>
        <w:jc w:val="left"/>
        <w:rPr>
          <w:rFonts w:ascii="宋体" w:hAnsi="宋体" w:eastAsia="宋体"/>
          <w:b/>
          <w:color w:val="000000"/>
          <w:sz w:val="28"/>
        </w:rPr>
        <w:sectPr>
          <w:pgSz w:w="16838" w:h="11906" w:orient="landscape"/>
          <w:pgMar w:top="1800" w:right="1440" w:bottom="1800" w:left="1440" w:header="851" w:footer="992" w:gutter="0"/>
          <w:cols w:space="425" w:num="1"/>
          <w:docGrid w:type="lines" w:linePitch="312" w:charSpace="0"/>
        </w:sectPr>
      </w:pPr>
    </w:p>
    <w:p>
      <w:pPr>
        <w:jc w:val="center"/>
        <w:rPr>
          <w:rFonts w:hint="eastAsia" w:ascii="黑体" w:eastAsia="黑体"/>
          <w:b/>
          <w:sz w:val="32"/>
          <w:szCs w:val="32"/>
        </w:rPr>
      </w:pPr>
      <w:r>
        <w:rPr>
          <w:rFonts w:hint="eastAsia" w:ascii="黑体" w:eastAsia="黑体"/>
          <w:b/>
          <w:sz w:val="32"/>
          <w:szCs w:val="32"/>
        </w:rPr>
        <w:t>人员经费计算依据情况表</w:t>
      </w:r>
    </w:p>
    <w:tbl>
      <w:tblPr>
        <w:tblStyle w:val="9"/>
        <w:tblW w:w="94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0"/>
        <w:gridCol w:w="4961"/>
        <w:gridCol w:w="992"/>
        <w:gridCol w:w="993"/>
        <w:gridCol w:w="1619"/>
        <w:gridCol w:w="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7816" w:type="dxa"/>
            <w:gridSpan w:val="4"/>
            <w:tcBorders>
              <w:top w:val="nil"/>
              <w:left w:val="nil"/>
              <w:right w:val="nil"/>
            </w:tcBorders>
            <w:shd w:val="clear" w:color="auto" w:fill="auto"/>
            <w:noWrap/>
            <w:vAlign w:val="center"/>
          </w:tcPr>
          <w:p>
            <w:pPr>
              <w:widowControl/>
              <w:jc w:val="left"/>
              <w:rPr>
                <w:rFonts w:hint="eastAsia" w:ascii="黑体" w:eastAsia="黑体"/>
                <w:b/>
              </w:rPr>
            </w:pPr>
            <w:r>
              <w:rPr>
                <w:rFonts w:ascii="宋体" w:hAnsi="宋体"/>
                <w:sz w:val="28"/>
              </w:rPr>
              <w:t>620002唐山市供销合作总社</w:t>
            </w:r>
          </w:p>
        </w:tc>
        <w:tc>
          <w:tcPr>
            <w:tcW w:w="1643" w:type="dxa"/>
            <w:gridSpan w:val="2"/>
            <w:tcBorders>
              <w:top w:val="nil"/>
              <w:left w:val="nil"/>
              <w:right w:val="nil"/>
            </w:tcBorders>
            <w:shd w:val="clear" w:color="auto" w:fill="auto"/>
            <w:noWrap/>
            <w:vAlign w:val="center"/>
          </w:tcPr>
          <w:p>
            <w:pPr>
              <w:widowControl/>
              <w:jc w:val="right"/>
              <w:rPr>
                <w:rFonts w:hint="eastAsia" w:ascii="黑体" w:eastAsia="黑体"/>
                <w:b/>
              </w:rPr>
            </w:pPr>
            <w:r>
              <w:rPr>
                <w:rFonts w:hint="eastAsia" w:ascii="宋体" w:hAnsi="宋体"/>
                <w:sz w:val="24"/>
              </w:rPr>
              <w:t>单位：人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tblHeader/>
          <w:jc w:val="center"/>
        </w:trPr>
        <w:tc>
          <w:tcPr>
            <w:tcW w:w="870"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序号</w:t>
            </w:r>
          </w:p>
        </w:tc>
        <w:tc>
          <w:tcPr>
            <w:tcW w:w="4961"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项   目</w:t>
            </w:r>
          </w:p>
        </w:tc>
        <w:tc>
          <w:tcPr>
            <w:tcW w:w="992"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现有数</w:t>
            </w:r>
          </w:p>
        </w:tc>
        <w:tc>
          <w:tcPr>
            <w:tcW w:w="993"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核定数</w:t>
            </w:r>
          </w:p>
        </w:tc>
        <w:tc>
          <w:tcPr>
            <w:tcW w:w="1619"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tblHeader/>
          <w:jc w:val="center"/>
        </w:trPr>
        <w:tc>
          <w:tcPr>
            <w:tcW w:w="87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4961"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992"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993"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1619"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tblHeader/>
          <w:jc w:val="center"/>
        </w:trPr>
        <w:tc>
          <w:tcPr>
            <w:tcW w:w="870"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4961"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Cs/>
                <w:color w:val="000000"/>
                <w:kern w:val="0"/>
                <w:sz w:val="22"/>
              </w:rPr>
            </w:pPr>
          </w:p>
        </w:tc>
        <w:tc>
          <w:tcPr>
            <w:tcW w:w="992"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单位性质</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参公单位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单位规格</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正处级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3</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编制人数</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33</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4</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实有人数</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35</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5</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在职实有人数</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35</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6</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公务员、事业单位管理人员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27</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7</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专业技术人员、技术工人、普通工人</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8</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8</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非在职人数</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9</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离休人员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19</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10</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公务员、事业单位管理人员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19</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11</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专业技术人员、技术工人、普通工人</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12</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退休人员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54</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13</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公务员、事业单位管理人员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49</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14</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专业技术人员、技术工人、普通工人</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5</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15</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实有编外人员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16</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其中：劳务派遣</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17</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其中：人事代理</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18</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其中：其他编外人员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19</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遗属</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8</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20</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预算年度全日制在校学生人数</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21</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1、本科生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22</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2、专科生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23</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3、高中生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24</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4、中专生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25</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5、体校生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26</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6、技校生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27</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7、函授生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28</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8、夜大生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29</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9、初中生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30</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10、小学生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31</w:t>
            </w:r>
          </w:p>
        </w:tc>
        <w:tc>
          <w:tcPr>
            <w:tcW w:w="4961"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11、幼儿</w:t>
            </w:r>
          </w:p>
        </w:tc>
        <w:tc>
          <w:tcPr>
            <w:tcW w:w="992"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bl>
    <w:p>
      <w:pPr>
        <w:rPr>
          <w:rFonts w:hint="eastAsia"/>
        </w:rPr>
      </w:pPr>
    </w:p>
    <w:p>
      <w:pPr>
        <w:spacing w:line="360" w:lineRule="auto"/>
        <w:jc w:val="left"/>
        <w:rPr>
          <w:rFonts w:ascii="宋体" w:hAnsi="宋体" w:eastAsia="宋体"/>
          <w:b/>
          <w:color w:val="000000"/>
          <w:sz w:val="28"/>
        </w:rPr>
        <w:sectPr>
          <w:headerReference r:id="rId17" w:type="default"/>
          <w:pgSz w:w="11906" w:h="16838"/>
          <w:pgMar w:top="1440" w:right="1800" w:bottom="1440" w:left="1800" w:header="851" w:footer="992" w:gutter="0"/>
          <w:cols w:space="425" w:num="1"/>
          <w:docGrid w:type="lines" w:linePitch="312" w:charSpace="0"/>
        </w:sectPr>
      </w:pPr>
    </w:p>
    <w:p>
      <w:pPr>
        <w:jc w:val="center"/>
        <w:rPr>
          <w:rFonts w:hint="eastAsia" w:ascii="黑体" w:eastAsia="黑体"/>
          <w:sz w:val="32"/>
          <w:szCs w:val="32"/>
        </w:rPr>
      </w:pPr>
      <w:r>
        <w:rPr>
          <w:rFonts w:hint="eastAsia" w:ascii="黑体" w:eastAsia="黑体"/>
          <w:sz w:val="32"/>
          <w:szCs w:val="32"/>
        </w:rPr>
        <w:t>正常公用经费计算依据情况表</w:t>
      </w:r>
    </w:p>
    <w:tbl>
      <w:tblPr>
        <w:tblStyle w:val="9"/>
        <w:tblW w:w="9497" w:type="dxa"/>
        <w:jc w:val="center"/>
        <w:tblLayout w:type="autofit"/>
        <w:tblCellMar>
          <w:top w:w="0" w:type="dxa"/>
          <w:left w:w="108" w:type="dxa"/>
          <w:bottom w:w="0" w:type="dxa"/>
          <w:right w:w="108" w:type="dxa"/>
        </w:tblCellMar>
      </w:tblPr>
      <w:tblGrid>
        <w:gridCol w:w="850"/>
        <w:gridCol w:w="3597"/>
        <w:gridCol w:w="1276"/>
        <w:gridCol w:w="1222"/>
        <w:gridCol w:w="1134"/>
        <w:gridCol w:w="1418"/>
      </w:tblGrid>
      <w:tr>
        <w:tblPrEx>
          <w:tblCellMar>
            <w:top w:w="0" w:type="dxa"/>
            <w:left w:w="108" w:type="dxa"/>
            <w:bottom w:w="0" w:type="dxa"/>
            <w:right w:w="108" w:type="dxa"/>
          </w:tblCellMar>
        </w:tblPrEx>
        <w:trPr>
          <w:cantSplit/>
          <w:trHeight w:val="312" w:hRule="atLeast"/>
          <w:tblHeader/>
          <w:jc w:val="center"/>
        </w:trPr>
        <w:tc>
          <w:tcPr>
            <w:tcW w:w="9497" w:type="dxa"/>
            <w:gridSpan w:val="6"/>
            <w:tcBorders>
              <w:bottom w:val="single" w:color="auto" w:sz="4" w:space="0"/>
            </w:tcBorders>
            <w:shd w:val="clear" w:color="auto" w:fill="auto"/>
            <w:noWrap/>
            <w:vAlign w:val="center"/>
          </w:tcPr>
          <w:p>
            <w:pPr>
              <w:widowControl/>
              <w:jc w:val="left"/>
              <w:rPr>
                <w:rFonts w:hint="eastAsia" w:ascii="黑体" w:hAnsi="黑体" w:eastAsia="黑体" w:cs="宋体"/>
                <w:b/>
                <w:bCs/>
                <w:color w:val="000000"/>
                <w:kern w:val="0"/>
                <w:szCs w:val="21"/>
              </w:rPr>
            </w:pPr>
            <w:r>
              <w:rPr>
                <w:rFonts w:ascii="宋体" w:hAnsi="宋体"/>
                <w:sz w:val="28"/>
              </w:rPr>
              <w:t>620002唐山市供销合作总社</w:t>
            </w:r>
          </w:p>
        </w:tc>
      </w:tr>
      <w:tr>
        <w:tblPrEx>
          <w:tblCellMar>
            <w:top w:w="0" w:type="dxa"/>
            <w:left w:w="108" w:type="dxa"/>
            <w:bottom w:w="0" w:type="dxa"/>
            <w:right w:w="108" w:type="dxa"/>
          </w:tblCellMar>
        </w:tblPrEx>
        <w:trPr>
          <w:cantSplit/>
          <w:trHeight w:val="312" w:hRule="atLeast"/>
          <w:tblHeader/>
          <w:jc w:val="center"/>
        </w:trPr>
        <w:tc>
          <w:tcPr>
            <w:tcW w:w="85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序号</w:t>
            </w:r>
          </w:p>
        </w:tc>
        <w:tc>
          <w:tcPr>
            <w:tcW w:w="359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项   目</w:t>
            </w:r>
          </w:p>
        </w:tc>
        <w:tc>
          <w:tcPr>
            <w:tcW w:w="127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计量单位</w:t>
            </w:r>
          </w:p>
        </w:tc>
        <w:tc>
          <w:tcPr>
            <w:tcW w:w="122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现有数</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核定数</w:t>
            </w:r>
          </w:p>
        </w:tc>
        <w:tc>
          <w:tcPr>
            <w:tcW w:w="141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备  注</w:t>
            </w:r>
          </w:p>
        </w:tc>
      </w:tr>
      <w:tr>
        <w:tblPrEx>
          <w:tblCellMar>
            <w:top w:w="0" w:type="dxa"/>
            <w:left w:w="108" w:type="dxa"/>
            <w:bottom w:w="0" w:type="dxa"/>
            <w:right w:w="108" w:type="dxa"/>
          </w:tblCellMar>
        </w:tblPrEx>
        <w:trPr>
          <w:cantSplit/>
          <w:trHeight w:val="312" w:hRule="atLeast"/>
          <w:tblHeader/>
          <w:jc w:val="center"/>
        </w:trPr>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35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22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r>
      <w:tr>
        <w:tblPrEx>
          <w:tblCellMar>
            <w:top w:w="0" w:type="dxa"/>
            <w:left w:w="108" w:type="dxa"/>
            <w:bottom w:w="0" w:type="dxa"/>
            <w:right w:w="108" w:type="dxa"/>
          </w:tblCellMar>
        </w:tblPrEx>
        <w:trPr>
          <w:cantSplit/>
          <w:trHeight w:val="312" w:hRule="atLeast"/>
          <w:tblHeader/>
          <w:jc w:val="center"/>
        </w:trPr>
        <w:tc>
          <w:tcPr>
            <w:tcW w:w="8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359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2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22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单位性质</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参公单位</w:t>
            </w: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单位内设机构数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8</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3</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编制人数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33</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4</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实有人数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35</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5</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在职实有人数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35</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6</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其中：在职正省级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7</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在职副省级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8</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在职正厅级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9</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在职副厅级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10</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在职正处级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11</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在职副处级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12</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在职其他</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31</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13</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非在职人数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14</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待分流</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15</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分流学习</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16</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病休</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17</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提前离岗</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18</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离休实有人数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19</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19</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退休实有人数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54</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20</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实有编外人员</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21</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其中：劳务派遣</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22</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其中：人事代理</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23</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其中：其他编外人员</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24</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车辆编制数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4</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25</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实有车辆数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4</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26</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小轿车</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3</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27</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越野车</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28</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旅行车（大）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29</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旅行车（中）</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30</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旅行车（小）</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31</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其他</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34</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办公使用面积</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平方米</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1186.85</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bl>
    <w:p>
      <w:pPr>
        <w:rPr>
          <w:rFonts w:hint="eastAsia"/>
        </w:rPr>
      </w:pPr>
    </w:p>
    <w:p>
      <w:pPr>
        <w:spacing w:line="360" w:lineRule="auto"/>
        <w:jc w:val="left"/>
        <w:rPr>
          <w:rFonts w:ascii="宋体" w:hAnsi="宋体" w:eastAsia="宋体"/>
          <w:b/>
          <w:color w:val="000000"/>
          <w:sz w:val="28"/>
        </w:rPr>
        <w:sectPr>
          <w:headerReference r:id="rId18" w:type="default"/>
          <w:pgSz w:w="11906" w:h="16838"/>
          <w:pgMar w:top="1440" w:right="1800" w:bottom="1440" w:left="1800" w:header="851" w:footer="992" w:gutter="0"/>
          <w:cols w:space="425" w:num="1"/>
          <w:docGrid w:type="lines" w:linePitch="312" w:charSpace="0"/>
        </w:sectPr>
      </w:pPr>
    </w:p>
    <w:p>
      <w:pPr>
        <w:spacing w:line="360" w:lineRule="auto"/>
        <w:jc w:val="center"/>
        <w:rPr>
          <w:rFonts w:ascii="宋体" w:hAnsi="宋体" w:eastAsia="宋体"/>
          <w:b/>
          <w:color w:val="000000"/>
          <w:sz w:val="44"/>
        </w:rPr>
      </w:pPr>
      <w:r>
        <w:rPr>
          <w:rFonts w:ascii="宋体" w:hAnsi="宋体" w:eastAsia="宋体"/>
          <w:b/>
          <w:color w:val="000000"/>
          <w:sz w:val="44"/>
        </w:rPr>
        <w:t>唐山市供销合作总社收支预算说明</w:t>
      </w:r>
    </w:p>
    <w:p>
      <w:pPr>
        <w:spacing w:line="480" w:lineRule="auto"/>
        <w:jc w:val="left"/>
        <w:rPr>
          <w:rFonts w:ascii="宋体" w:hAnsi="宋体" w:eastAsia="宋体"/>
          <w:b/>
          <w:color w:val="000000"/>
          <w:sz w:val="28"/>
        </w:rPr>
      </w:pPr>
      <w:r>
        <w:rPr>
          <w:rFonts w:ascii="宋体" w:hAnsi="宋体" w:eastAsia="宋体"/>
          <w:b/>
          <w:color w:val="000000"/>
          <w:sz w:val="28"/>
        </w:rPr>
        <w:t>一、收入预算说明</w:t>
      </w:r>
    </w:p>
    <w:p/>
    <w:p>
      <w:pPr>
        <w:spacing w:line="360" w:lineRule="auto"/>
        <w:jc w:val="left"/>
        <w:rPr>
          <w:rFonts w:ascii="宋体" w:hAnsi="宋体" w:eastAsia="宋体"/>
          <w:b/>
          <w:color w:val="000000"/>
          <w:sz w:val="28"/>
        </w:rPr>
      </w:pPr>
      <w:r>
        <w:rPr>
          <w:rFonts w:ascii="宋体" w:hAnsi="宋体" w:eastAsia="宋体"/>
          <w:b/>
          <w:color w:val="000000"/>
          <w:sz w:val="28"/>
        </w:rPr>
        <w:t>二、支出预算说明</w:t>
      </w:r>
    </w:p>
    <w:p>
      <w:pPr>
        <w:spacing w:line="480" w:lineRule="auto"/>
        <w:jc w:val="left"/>
        <w:rPr>
          <w:rFonts w:ascii="宋体" w:hAnsi="宋体" w:eastAsia="宋体"/>
          <w:b/>
          <w:color w:val="000000"/>
          <w:sz w:val="28"/>
        </w:rPr>
      </w:pPr>
      <w:r>
        <w:rPr>
          <w:rFonts w:ascii="宋体" w:hAnsi="宋体" w:eastAsia="宋体"/>
          <w:b/>
          <w:color w:val="000000"/>
          <w:sz w:val="28"/>
        </w:rPr>
        <w:t>（一）专项公用经费项目安排说明</w:t>
      </w:r>
    </w:p>
    <w:p>
      <w:pPr>
        <w:spacing w:line="360" w:lineRule="auto"/>
        <w:jc w:val="left"/>
        <w:rPr>
          <w:rFonts w:ascii="宋体" w:hAnsi="宋体" w:eastAsia="宋体"/>
          <w:b/>
          <w:color w:val="000000"/>
          <w:sz w:val="28"/>
        </w:rPr>
        <w:sectPr>
          <w:pgSz w:w="11906" w:h="16838"/>
          <w:pgMar w:top="1440" w:right="1800" w:bottom="1440" w:left="1800" w:header="851" w:footer="992" w:gutter="0"/>
          <w:cols w:space="425" w:num="1"/>
          <w:docGrid w:type="lines" w:linePitch="312" w:charSpace="0"/>
        </w:sectPr>
      </w:pPr>
    </w:p>
    <w:p>
      <w:pPr>
        <w:jc w:val="center"/>
        <w:rPr>
          <w:rFonts w:hint="eastAsia" w:ascii="黑体" w:eastAsia="黑体"/>
          <w:b/>
          <w:sz w:val="32"/>
          <w:szCs w:val="32"/>
        </w:rPr>
      </w:pPr>
      <w:r>
        <w:rPr>
          <w:rFonts w:hint="eastAsia" w:ascii="黑体" w:eastAsia="黑体"/>
          <w:b/>
          <w:sz w:val="32"/>
          <w:szCs w:val="32"/>
        </w:rPr>
        <w:t>单位专项公用经费安排说明</w:t>
      </w:r>
    </w:p>
    <w:tbl>
      <w:tblPr>
        <w:tblStyle w:val="9"/>
        <w:tblW w:w="14174" w:type="dxa"/>
        <w:jc w:val="center"/>
        <w:tblLayout w:type="autofit"/>
        <w:tblCellMar>
          <w:top w:w="57" w:type="dxa"/>
          <w:left w:w="85" w:type="dxa"/>
          <w:bottom w:w="57" w:type="dxa"/>
          <w:right w:w="85" w:type="dxa"/>
        </w:tblCellMar>
      </w:tblPr>
      <w:tblGrid>
        <w:gridCol w:w="1809"/>
        <w:gridCol w:w="2268"/>
        <w:gridCol w:w="1418"/>
        <w:gridCol w:w="247"/>
        <w:gridCol w:w="8432"/>
      </w:tblGrid>
      <w:tr>
        <w:tblPrEx>
          <w:tblCellMar>
            <w:top w:w="57" w:type="dxa"/>
            <w:left w:w="85" w:type="dxa"/>
            <w:bottom w:w="57" w:type="dxa"/>
            <w:right w:w="85" w:type="dxa"/>
          </w:tblCellMar>
        </w:tblPrEx>
        <w:trPr>
          <w:cantSplit/>
          <w:trHeight w:val="312" w:hRule="atLeast"/>
          <w:tblHeader/>
          <w:jc w:val="center"/>
        </w:trPr>
        <w:tc>
          <w:tcPr>
            <w:tcW w:w="5742" w:type="dxa"/>
            <w:gridSpan w:val="4"/>
            <w:tcBorders>
              <w:bottom w:val="single" w:color="auto" w:sz="4" w:space="0"/>
            </w:tcBorders>
            <w:shd w:val="clear" w:color="auto" w:fill="auto"/>
            <w:noWrap/>
            <w:vAlign w:val="center"/>
          </w:tcPr>
          <w:p>
            <w:pPr>
              <w:widowControl/>
              <w:jc w:val="left"/>
              <w:rPr>
                <w:rFonts w:hint="eastAsia" w:ascii="黑体" w:hAnsi="黑体" w:eastAsia="黑体" w:cs="宋体"/>
                <w:b/>
                <w:color w:val="000000"/>
                <w:kern w:val="0"/>
                <w:szCs w:val="21"/>
              </w:rPr>
            </w:pPr>
            <w:r>
              <w:rPr>
                <w:rFonts w:ascii="宋体" w:hAnsi="宋体"/>
                <w:sz w:val="28"/>
              </w:rPr>
              <w:t>620002唐山市供销合作总社</w:t>
            </w:r>
          </w:p>
        </w:tc>
        <w:tc>
          <w:tcPr>
            <w:tcW w:w="8432" w:type="dxa"/>
            <w:tcBorders>
              <w:bottom w:val="single" w:color="auto" w:sz="4" w:space="0"/>
            </w:tcBorders>
            <w:shd w:val="clear" w:color="auto" w:fill="auto"/>
            <w:noWrap/>
            <w:vAlign w:val="center"/>
          </w:tcPr>
          <w:p>
            <w:pPr>
              <w:widowControl/>
              <w:jc w:val="right"/>
              <w:rPr>
                <w:rFonts w:hint="eastAsia" w:ascii="黑体" w:hAnsi="黑体" w:eastAsia="黑体" w:cs="宋体"/>
                <w:b/>
                <w:color w:val="000000"/>
                <w:kern w:val="0"/>
                <w:szCs w:val="21"/>
              </w:rPr>
            </w:pPr>
            <w:r>
              <w:rPr>
                <w:rFonts w:ascii="宋体" w:hAnsi="宋体"/>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1809" w:type="dxa"/>
            <w:vMerge w:val="restart"/>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项目编码</w:t>
            </w:r>
          </w:p>
        </w:tc>
        <w:tc>
          <w:tcPr>
            <w:tcW w:w="2268" w:type="dxa"/>
            <w:vMerge w:val="restart"/>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color w:val="000000"/>
                <w:kern w:val="0"/>
                <w:szCs w:val="21"/>
              </w:rPr>
              <w:t>项目名称</w:t>
            </w:r>
          </w:p>
        </w:tc>
        <w:tc>
          <w:tcPr>
            <w:tcW w:w="1418" w:type="dxa"/>
            <w:vMerge w:val="restart"/>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color w:val="000000"/>
                <w:kern w:val="0"/>
                <w:szCs w:val="21"/>
              </w:rPr>
              <w:t>项目总计</w:t>
            </w:r>
          </w:p>
        </w:tc>
        <w:tc>
          <w:tcPr>
            <w:tcW w:w="8679" w:type="dxa"/>
            <w:gridSpan w:val="2"/>
            <w:vMerge w:val="restart"/>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color w:val="000000"/>
                <w:kern w:val="0"/>
                <w:szCs w:val="21"/>
              </w:rPr>
              <w:t>项目文本说明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1809" w:type="dxa"/>
            <w:vMerge w:val="continue"/>
            <w:vAlign w:val="center"/>
          </w:tcPr>
          <w:p>
            <w:pPr>
              <w:widowControl/>
              <w:jc w:val="center"/>
              <w:rPr>
                <w:rFonts w:ascii="黑体" w:hAnsi="黑体" w:eastAsia="黑体" w:cs="宋体"/>
                <w:b/>
                <w:bCs/>
                <w:color w:val="000000"/>
                <w:kern w:val="0"/>
                <w:szCs w:val="21"/>
              </w:rPr>
            </w:pPr>
          </w:p>
        </w:tc>
        <w:tc>
          <w:tcPr>
            <w:tcW w:w="2268" w:type="dxa"/>
            <w:vMerge w:val="continue"/>
            <w:vAlign w:val="center"/>
          </w:tcPr>
          <w:p>
            <w:pPr>
              <w:widowControl/>
              <w:jc w:val="center"/>
              <w:rPr>
                <w:rFonts w:ascii="黑体" w:hAnsi="黑体" w:eastAsia="黑体" w:cs="宋体"/>
                <w:b/>
                <w:bCs/>
                <w:color w:val="000000"/>
                <w:kern w:val="0"/>
                <w:szCs w:val="21"/>
              </w:rPr>
            </w:pPr>
          </w:p>
        </w:tc>
        <w:tc>
          <w:tcPr>
            <w:tcW w:w="1418" w:type="dxa"/>
            <w:vMerge w:val="continue"/>
            <w:vAlign w:val="center"/>
          </w:tcPr>
          <w:p>
            <w:pPr>
              <w:widowControl/>
              <w:jc w:val="center"/>
              <w:rPr>
                <w:rFonts w:ascii="黑体" w:hAnsi="黑体" w:eastAsia="黑体" w:cs="宋体"/>
                <w:b/>
                <w:bCs/>
                <w:color w:val="000000"/>
                <w:kern w:val="0"/>
                <w:szCs w:val="21"/>
              </w:rPr>
            </w:pPr>
          </w:p>
        </w:tc>
        <w:tc>
          <w:tcPr>
            <w:tcW w:w="8679" w:type="dxa"/>
            <w:gridSpan w:val="2"/>
            <w:vMerge w:val="continue"/>
            <w:vAlign w:val="center"/>
          </w:tcPr>
          <w:p>
            <w:pPr>
              <w:widowControl/>
              <w:jc w:val="center"/>
              <w:rPr>
                <w:rFonts w:ascii="黑体" w:hAnsi="黑体" w:eastAsia="黑体" w:cs="宋体"/>
                <w:b/>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1809" w:type="dxa"/>
            <w:vMerge w:val="continue"/>
            <w:shd w:val="clear" w:color="auto" w:fill="auto"/>
            <w:vAlign w:val="center"/>
          </w:tcPr>
          <w:p>
            <w:pPr>
              <w:widowControl/>
              <w:jc w:val="left"/>
              <w:rPr>
                <w:rFonts w:ascii="宋体" w:hAnsi="宋体" w:cs="宋体"/>
                <w:color w:val="000000"/>
                <w:kern w:val="0"/>
                <w:szCs w:val="21"/>
              </w:rPr>
            </w:pPr>
          </w:p>
        </w:tc>
        <w:tc>
          <w:tcPr>
            <w:tcW w:w="2268" w:type="dxa"/>
            <w:vMerge w:val="continue"/>
            <w:shd w:val="clear" w:color="auto" w:fill="auto"/>
            <w:vAlign w:val="center"/>
          </w:tcPr>
          <w:p>
            <w:pPr>
              <w:widowControl/>
              <w:jc w:val="left"/>
              <w:rPr>
                <w:rFonts w:ascii="宋体" w:hAnsi="宋体" w:cs="宋体"/>
                <w:color w:val="000000"/>
                <w:kern w:val="0"/>
                <w:szCs w:val="21"/>
              </w:rPr>
            </w:pPr>
          </w:p>
        </w:tc>
        <w:tc>
          <w:tcPr>
            <w:tcW w:w="1418" w:type="dxa"/>
            <w:vMerge w:val="continue"/>
            <w:shd w:val="clear" w:color="auto" w:fill="auto"/>
            <w:vAlign w:val="center"/>
          </w:tcPr>
          <w:p>
            <w:pPr>
              <w:widowControl/>
              <w:jc w:val="right"/>
              <w:rPr>
                <w:rFonts w:ascii="宋体" w:hAnsi="宋体" w:cs="宋体"/>
                <w:color w:val="000000"/>
                <w:kern w:val="0"/>
                <w:szCs w:val="21"/>
              </w:rPr>
            </w:pPr>
          </w:p>
        </w:tc>
        <w:tc>
          <w:tcPr>
            <w:tcW w:w="8679" w:type="dxa"/>
            <w:gridSpan w:val="2"/>
            <w:vMerge w:val="continue"/>
            <w:shd w:val="clear" w:color="auto" w:fill="auto"/>
            <w:vAlign w:val="center"/>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1809" w:type="dxa"/>
            <w:shd w:val="clear" w:color="auto" w:fill="auto"/>
            <w:vAlign w:val="center"/>
          </w:tcPr>
          <w:p>
            <w:pPr>
              <w:widowControl/>
              <w:jc w:val="left"/>
              <w:rPr>
                <w:rFonts w:ascii="宋体" w:hAnsi="宋体" w:cs="宋体"/>
                <w:color w:val="000000"/>
                <w:kern w:val="0"/>
                <w:szCs w:val="21"/>
              </w:rPr>
            </w:pPr>
          </w:p>
        </w:tc>
        <w:tc>
          <w:tcPr>
            <w:tcW w:w="226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合计</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3.73</w:t>
            </w:r>
          </w:p>
        </w:tc>
        <w:tc>
          <w:tcPr>
            <w:tcW w:w="8679" w:type="dxa"/>
            <w:gridSpan w:val="2"/>
            <w:shd w:val="clear" w:color="auto" w:fill="auto"/>
            <w:vAlign w:val="center"/>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809"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62000222GGZ0003</w:t>
            </w:r>
          </w:p>
        </w:tc>
        <w:tc>
          <w:tcPr>
            <w:tcW w:w="226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购置办公家具</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1.91</w:t>
            </w:r>
          </w:p>
        </w:tc>
        <w:tc>
          <w:tcPr>
            <w:tcW w:w="8679"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我单位共有</w:t>
            </w:r>
            <w:r>
              <w:rPr>
                <w:rFonts w:ascii="宋体" w:hAnsi="宋体" w:cs="宋体"/>
                <w:color w:val="000000"/>
                <w:kern w:val="0"/>
                <w:szCs w:val="21"/>
              </w:rPr>
              <w:t>35人，9个科室，原有桌椅坏破已损坏不能</w:t>
            </w:r>
            <w:bookmarkStart w:id="14" w:name="_GoBack"/>
            <w:bookmarkEnd w:id="14"/>
            <w:r>
              <w:rPr>
                <w:rFonts w:ascii="宋体" w:hAnsi="宋体" w:cs="宋体"/>
                <w:color w:val="000000"/>
                <w:kern w:val="0"/>
                <w:szCs w:val="21"/>
              </w:rPr>
              <w:t>使用，严重影响办公效率。2020年至2021年，我单位调入正县级领导1名，新招录公务员6名，原有桌椅已损坏报废不能正常使用，严重影响办公效率。现申请办公桌椅及卷柜5套。同时，我单位今年增设一个内设处室，需申请碎纸机一台。此外，由于近年保密文件增多，保密局要求严格，现申请保密柜一台，用以规范密件管理。按照《唐山市市直行政事业单位通用设备及家具配置标准》，正县级办公家具标准6700元/人，科员办公家具标准2500元/人，保密柜标准1600/台，碎纸机800</w:t>
            </w:r>
            <w:r>
              <w:rPr>
                <w:rFonts w:hint="eastAsia" w:ascii="宋体" w:hAnsi="宋体" w:cs="宋体"/>
                <w:color w:val="000000"/>
                <w:kern w:val="0"/>
                <w:szCs w:val="21"/>
              </w:rPr>
              <w:t>元</w:t>
            </w:r>
            <w:r>
              <w:rPr>
                <w:rFonts w:ascii="宋体" w:hAnsi="宋体" w:cs="宋体"/>
                <w:color w:val="000000"/>
                <w:kern w:val="0"/>
                <w:szCs w:val="21"/>
              </w:rPr>
              <w:t>/台，共计19100元。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809"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62000221GHY0001</w:t>
            </w:r>
          </w:p>
        </w:tc>
        <w:tc>
          <w:tcPr>
            <w:tcW w:w="226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年度系统工作会</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0.91</w:t>
            </w:r>
          </w:p>
        </w:tc>
        <w:tc>
          <w:tcPr>
            <w:tcW w:w="8679"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会议名称：年度系统工作会议</w:t>
            </w:r>
          </w:p>
          <w:p>
            <w:pPr>
              <w:widowControl/>
              <w:jc w:val="left"/>
              <w:rPr>
                <w:rFonts w:ascii="宋体" w:hAnsi="宋体" w:cs="宋体"/>
                <w:color w:val="000000"/>
                <w:kern w:val="0"/>
                <w:szCs w:val="21"/>
              </w:rPr>
            </w:pPr>
            <w:r>
              <w:rPr>
                <w:rFonts w:hint="eastAsia" w:ascii="宋体" w:hAnsi="宋体" w:cs="宋体"/>
                <w:color w:val="000000"/>
                <w:kern w:val="0"/>
                <w:szCs w:val="21"/>
              </w:rPr>
              <w:t>参会人员：市社领导班子成员，集团领导班子成员，各县（市、区）社主任，分管主任或分管科长；市社（集团）相关单位经理、机关相关处（部）室负责人，大概</w:t>
            </w:r>
            <w:r>
              <w:rPr>
                <w:rFonts w:ascii="宋体" w:hAnsi="宋体" w:cs="宋体"/>
                <w:color w:val="000000"/>
                <w:kern w:val="0"/>
                <w:szCs w:val="21"/>
              </w:rPr>
              <w:t>60人。</w:t>
            </w:r>
          </w:p>
          <w:p>
            <w:pPr>
              <w:widowControl/>
              <w:jc w:val="left"/>
              <w:rPr>
                <w:rFonts w:ascii="宋体" w:hAnsi="宋体" w:cs="宋体"/>
                <w:color w:val="000000"/>
                <w:kern w:val="0"/>
                <w:szCs w:val="21"/>
              </w:rPr>
            </w:pPr>
            <w:r>
              <w:rPr>
                <w:rFonts w:hint="eastAsia" w:ascii="宋体" w:hAnsi="宋体" w:cs="宋体"/>
                <w:color w:val="000000"/>
                <w:kern w:val="0"/>
                <w:szCs w:val="21"/>
              </w:rPr>
              <w:t>会议时间：春节后（一般在每年的</w:t>
            </w:r>
            <w:r>
              <w:rPr>
                <w:rFonts w:ascii="宋体" w:hAnsi="宋体" w:cs="宋体"/>
                <w:color w:val="000000"/>
                <w:kern w:val="0"/>
                <w:szCs w:val="21"/>
              </w:rPr>
              <w:t>3月份）</w:t>
            </w:r>
          </w:p>
          <w:p>
            <w:pPr>
              <w:widowControl/>
              <w:jc w:val="left"/>
              <w:rPr>
                <w:rFonts w:ascii="宋体" w:hAnsi="宋体" w:cs="宋体"/>
                <w:color w:val="000000"/>
                <w:kern w:val="0"/>
                <w:szCs w:val="21"/>
              </w:rPr>
            </w:pPr>
            <w:r>
              <w:rPr>
                <w:rFonts w:hint="eastAsia" w:ascii="宋体" w:hAnsi="宋体" w:cs="宋体"/>
                <w:color w:val="000000"/>
                <w:kern w:val="0"/>
                <w:szCs w:val="21"/>
              </w:rPr>
              <w:t>会议内容：以习近平新时代中国特色社会主义思想为指导</w:t>
            </w:r>
            <w:r>
              <w:rPr>
                <w:rFonts w:ascii="宋体" w:hAnsi="宋体" w:cs="宋体"/>
                <w:color w:val="000000"/>
                <w:kern w:val="0"/>
                <w:szCs w:val="21"/>
              </w:rPr>
              <w:t>,深入学习贯彻</w:t>
            </w:r>
            <w:r>
              <w:rPr>
                <w:rFonts w:hint="eastAsia" w:ascii="宋体" w:hAnsi="宋体" w:cs="宋体"/>
                <w:color w:val="000000"/>
                <w:kern w:val="0"/>
                <w:szCs w:val="21"/>
              </w:rPr>
              <w:t>习近平总书记</w:t>
            </w:r>
            <w:r>
              <w:rPr>
                <w:rFonts w:ascii="宋体" w:hAnsi="宋体" w:cs="宋体"/>
                <w:color w:val="000000"/>
                <w:kern w:val="0"/>
                <w:szCs w:val="21"/>
              </w:rPr>
              <w:t>对供销社批示精神、贯彻落实中央、省、市关于供销合作社综合改革的决策部署和总社、省社工作要求,全面总结2021年工作,部署2022年任务，不忘初心</w:t>
            </w:r>
            <w:r>
              <w:rPr>
                <w:rFonts w:hint="eastAsia" w:ascii="宋体" w:hAnsi="宋体" w:cs="宋体"/>
                <w:color w:val="000000"/>
                <w:kern w:val="0"/>
                <w:szCs w:val="21"/>
                <w:lang w:eastAsia="zh-CN"/>
              </w:rPr>
              <w:t>、</w:t>
            </w:r>
            <w:r>
              <w:rPr>
                <w:rFonts w:ascii="宋体" w:hAnsi="宋体" w:cs="宋体"/>
                <w:color w:val="000000"/>
                <w:kern w:val="0"/>
                <w:szCs w:val="21"/>
              </w:rPr>
              <w:t>牢记使命，砥砺奋进，只争朝夕，为加快实现“三个努力建成”积极贡献力量。</w:t>
            </w:r>
          </w:p>
          <w:p>
            <w:pPr>
              <w:widowControl/>
              <w:jc w:val="left"/>
              <w:rPr>
                <w:rFonts w:ascii="宋体" w:hAnsi="宋体" w:cs="宋体"/>
                <w:color w:val="000000"/>
                <w:kern w:val="0"/>
                <w:szCs w:val="21"/>
              </w:rPr>
            </w:pPr>
            <w:r>
              <w:rPr>
                <w:rFonts w:hint="eastAsia" w:ascii="宋体" w:hAnsi="宋体" w:cs="宋体"/>
                <w:color w:val="000000"/>
                <w:kern w:val="0"/>
                <w:szCs w:val="21"/>
              </w:rPr>
              <w:t>会议议程：</w:t>
            </w:r>
            <w:r>
              <w:rPr>
                <w:rFonts w:ascii="宋体" w:hAnsi="宋体" w:cs="宋体"/>
                <w:color w:val="000000"/>
                <w:kern w:val="0"/>
                <w:szCs w:val="21"/>
              </w:rPr>
              <w:t>1.宣读《关于表彰××年度系统工作考核优胜单位的通报》和《关于表彰××年度全市先进供销农民合作社联合社的通报》；2.授牌颁奖；3.大会发言；4.宣读《××实施方案》等；5.领导讲话</w:t>
            </w:r>
          </w:p>
          <w:p>
            <w:pPr>
              <w:widowControl/>
              <w:jc w:val="left"/>
              <w:rPr>
                <w:rFonts w:ascii="宋体" w:hAnsi="宋体" w:cs="宋体"/>
                <w:color w:val="000000"/>
                <w:kern w:val="0"/>
                <w:szCs w:val="21"/>
              </w:rPr>
            </w:pPr>
            <w:r>
              <w:rPr>
                <w:rFonts w:hint="eastAsia" w:ascii="宋体" w:hAnsi="宋体" w:cs="宋体"/>
                <w:color w:val="000000"/>
                <w:kern w:val="0"/>
                <w:szCs w:val="21"/>
              </w:rPr>
              <w:t>会议费用：</w:t>
            </w:r>
            <w:r>
              <w:rPr>
                <w:rFonts w:ascii="宋体" w:hAnsi="宋体" w:cs="宋体"/>
                <w:color w:val="000000"/>
                <w:kern w:val="0"/>
                <w:szCs w:val="21"/>
              </w:rPr>
              <w:t>9120元</w:t>
            </w:r>
          </w:p>
          <w:p>
            <w:pPr>
              <w:widowControl/>
              <w:jc w:val="left"/>
              <w:rPr>
                <w:rFonts w:ascii="宋体" w:hAnsi="宋体" w:cs="宋体"/>
                <w:color w:val="000000"/>
                <w:kern w:val="0"/>
                <w:szCs w:val="21"/>
              </w:rPr>
            </w:pPr>
            <w:r>
              <w:rPr>
                <w:rFonts w:hint="eastAsia" w:ascii="宋体" w:hAnsi="宋体" w:cs="宋体"/>
                <w:color w:val="000000"/>
                <w:kern w:val="0"/>
                <w:szCs w:val="21"/>
              </w:rPr>
              <w:t>其中：餐费</w:t>
            </w:r>
            <w:r>
              <w:rPr>
                <w:rFonts w:ascii="宋体" w:hAnsi="宋体" w:cs="宋体"/>
                <w:color w:val="000000"/>
                <w:kern w:val="0"/>
                <w:szCs w:val="21"/>
              </w:rPr>
              <w:t>60*120元/人天=7200（元），其他费用60*32元/人天=1920（元）；合计7200+1920=9120（元）。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809"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62000221GHY0002</w:t>
            </w:r>
          </w:p>
        </w:tc>
        <w:tc>
          <w:tcPr>
            <w:tcW w:w="226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重点工作调度会</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0.91</w:t>
            </w:r>
          </w:p>
        </w:tc>
        <w:tc>
          <w:tcPr>
            <w:tcW w:w="8679"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会议名称：重点工作调度会</w:t>
            </w:r>
          </w:p>
          <w:p>
            <w:pPr>
              <w:widowControl/>
              <w:jc w:val="left"/>
              <w:rPr>
                <w:rFonts w:ascii="宋体" w:hAnsi="宋体" w:cs="宋体"/>
                <w:color w:val="000000"/>
                <w:kern w:val="0"/>
                <w:szCs w:val="21"/>
              </w:rPr>
            </w:pPr>
            <w:r>
              <w:rPr>
                <w:rFonts w:hint="eastAsia" w:ascii="宋体" w:hAnsi="宋体" w:cs="宋体"/>
                <w:color w:val="000000"/>
                <w:kern w:val="0"/>
                <w:szCs w:val="21"/>
              </w:rPr>
              <w:t>参会人员：市社领导班子成员，集团领导班子成员，各县（市、区）社主任，分管主任或分管科长；市社（集团）相关单位经理、机关相关处（部）室负责人，大概</w:t>
            </w:r>
            <w:r>
              <w:rPr>
                <w:rFonts w:ascii="宋体" w:hAnsi="宋体" w:cs="宋体"/>
                <w:color w:val="000000"/>
                <w:kern w:val="0"/>
                <w:szCs w:val="21"/>
              </w:rPr>
              <w:t>60人。</w:t>
            </w:r>
          </w:p>
          <w:p>
            <w:pPr>
              <w:widowControl/>
              <w:jc w:val="left"/>
              <w:rPr>
                <w:rFonts w:ascii="宋体" w:hAnsi="宋体" w:cs="宋体"/>
                <w:color w:val="000000"/>
                <w:kern w:val="0"/>
                <w:szCs w:val="21"/>
              </w:rPr>
            </w:pPr>
            <w:r>
              <w:rPr>
                <w:rFonts w:hint="eastAsia" w:ascii="宋体" w:hAnsi="宋体" w:cs="宋体"/>
                <w:color w:val="000000"/>
                <w:kern w:val="0"/>
                <w:szCs w:val="21"/>
              </w:rPr>
              <w:t>会议时间：一般在每年的</w:t>
            </w:r>
            <w:r>
              <w:rPr>
                <w:rFonts w:ascii="宋体" w:hAnsi="宋体" w:cs="宋体"/>
                <w:color w:val="000000"/>
                <w:kern w:val="0"/>
                <w:szCs w:val="21"/>
              </w:rPr>
              <w:t>6月份</w:t>
            </w:r>
          </w:p>
          <w:p>
            <w:pPr>
              <w:widowControl/>
              <w:jc w:val="left"/>
              <w:rPr>
                <w:rFonts w:ascii="宋体" w:hAnsi="宋体" w:cs="宋体"/>
                <w:color w:val="000000"/>
                <w:kern w:val="0"/>
                <w:szCs w:val="21"/>
              </w:rPr>
            </w:pPr>
            <w:r>
              <w:rPr>
                <w:rFonts w:hint="eastAsia" w:ascii="宋体" w:hAnsi="宋体" w:cs="宋体"/>
                <w:color w:val="000000"/>
                <w:kern w:val="0"/>
                <w:szCs w:val="21"/>
              </w:rPr>
              <w:t>会议内容：组织动员全市供销系统，进一步统一思想、把握形势、加压奋进、对照全年目标任务，重点工作完成情况、省社提出的目标任务等，查找工作中存在的短板，制定具体措施，善始善终抓改革</w:t>
            </w:r>
            <w:r>
              <w:rPr>
                <w:rFonts w:ascii="宋体" w:hAnsi="宋体" w:cs="宋体"/>
                <w:color w:val="000000"/>
                <w:kern w:val="0"/>
                <w:szCs w:val="21"/>
              </w:rPr>
              <w:t>,确保各项改革任务落到实处、见到实效，重塑供销社形象，为全市改革发展作出供销系统的贡献。</w:t>
            </w:r>
          </w:p>
          <w:p>
            <w:pPr>
              <w:widowControl/>
              <w:jc w:val="left"/>
              <w:rPr>
                <w:rFonts w:ascii="宋体" w:hAnsi="宋体" w:cs="宋体"/>
                <w:color w:val="000000"/>
                <w:kern w:val="0"/>
                <w:szCs w:val="21"/>
              </w:rPr>
            </w:pPr>
            <w:r>
              <w:rPr>
                <w:rFonts w:hint="eastAsia" w:ascii="宋体" w:hAnsi="宋体" w:cs="宋体"/>
                <w:color w:val="000000"/>
                <w:kern w:val="0"/>
                <w:szCs w:val="21"/>
              </w:rPr>
              <w:t>会议议程：</w:t>
            </w:r>
            <w:r>
              <w:rPr>
                <w:rFonts w:ascii="宋体" w:hAnsi="宋体" w:cs="宋体"/>
                <w:color w:val="000000"/>
                <w:kern w:val="0"/>
                <w:szCs w:val="21"/>
              </w:rPr>
              <w:t>1.传达贯彻文件议精神；2、通报半年工作进展情况、查找不足，分析原因；3、典型发言；4、领导讲话</w:t>
            </w:r>
          </w:p>
          <w:p>
            <w:pPr>
              <w:widowControl/>
              <w:jc w:val="left"/>
              <w:rPr>
                <w:rFonts w:ascii="宋体" w:hAnsi="宋体" w:cs="宋体"/>
                <w:color w:val="000000"/>
                <w:kern w:val="0"/>
                <w:szCs w:val="21"/>
              </w:rPr>
            </w:pPr>
            <w:r>
              <w:rPr>
                <w:rFonts w:hint="eastAsia" w:ascii="宋体" w:hAnsi="宋体" w:cs="宋体"/>
                <w:color w:val="000000"/>
                <w:kern w:val="0"/>
                <w:szCs w:val="21"/>
              </w:rPr>
              <w:t>会议费用：</w:t>
            </w:r>
            <w:r>
              <w:rPr>
                <w:rFonts w:ascii="宋体" w:hAnsi="宋体" w:cs="宋体"/>
                <w:color w:val="000000"/>
                <w:kern w:val="0"/>
                <w:szCs w:val="21"/>
              </w:rPr>
              <w:t>9600元</w:t>
            </w:r>
          </w:p>
          <w:p>
            <w:pPr>
              <w:widowControl/>
              <w:jc w:val="left"/>
              <w:rPr>
                <w:rFonts w:ascii="宋体" w:hAnsi="宋体" w:cs="宋体"/>
                <w:color w:val="000000"/>
                <w:kern w:val="0"/>
                <w:szCs w:val="21"/>
              </w:rPr>
            </w:pPr>
            <w:r>
              <w:rPr>
                <w:rFonts w:hint="eastAsia" w:ascii="宋体" w:hAnsi="宋体" w:cs="宋体"/>
                <w:color w:val="000000"/>
                <w:kern w:val="0"/>
                <w:szCs w:val="21"/>
              </w:rPr>
              <w:t>其中：餐费</w:t>
            </w:r>
            <w:r>
              <w:rPr>
                <w:rFonts w:ascii="宋体" w:hAnsi="宋体" w:cs="宋体"/>
                <w:color w:val="000000"/>
                <w:kern w:val="0"/>
                <w:szCs w:val="21"/>
              </w:rPr>
              <w:t>60*120元/人天=7200（元），其他费用60*40元/人天=2400（元）；合计7200+2400=9600（元）。</w:t>
            </w:r>
          </w:p>
        </w:tc>
      </w:tr>
    </w:tbl>
    <w:p>
      <w:pPr>
        <w:spacing w:line="20" w:lineRule="exact"/>
        <w:jc w:val="center"/>
        <w:rPr>
          <w:rFonts w:hint="eastAsia" w:ascii="黑体" w:eastAsia="黑体"/>
          <w:b/>
          <w:sz w:val="32"/>
          <w:szCs w:val="32"/>
        </w:rPr>
      </w:pPr>
    </w:p>
    <w:p>
      <w:pPr>
        <w:spacing w:line="20" w:lineRule="exact"/>
        <w:jc w:val="center"/>
        <w:rPr>
          <w:rFonts w:hint="eastAsia" w:ascii="黑体" w:eastAsia="黑体"/>
          <w:b/>
          <w:sz w:val="32"/>
          <w:szCs w:val="32"/>
        </w:rPr>
      </w:pPr>
    </w:p>
    <w:p>
      <w:pPr>
        <w:spacing w:line="20" w:lineRule="exact"/>
        <w:jc w:val="center"/>
        <w:rPr>
          <w:rFonts w:hint="eastAsia" w:ascii="黑体" w:eastAsia="黑体"/>
          <w:b/>
          <w:sz w:val="32"/>
          <w:szCs w:val="32"/>
        </w:rPr>
      </w:pPr>
    </w:p>
    <w:p>
      <w:pPr>
        <w:spacing w:line="20" w:lineRule="exact"/>
      </w:pPr>
    </w:p>
    <w:p>
      <w:pPr>
        <w:spacing w:line="360" w:lineRule="auto"/>
        <w:jc w:val="left"/>
        <w:rPr>
          <w:rFonts w:ascii="宋体" w:hAnsi="宋体" w:eastAsia="宋体"/>
          <w:b/>
          <w:color w:val="000000"/>
          <w:sz w:val="28"/>
        </w:rPr>
        <w:sectPr>
          <w:headerReference r:id="rId19" w:type="default"/>
          <w:pgSz w:w="16838" w:h="11906" w:orient="landscape"/>
          <w:pgMar w:top="1800" w:right="1440" w:bottom="1800" w:left="1440" w:header="851" w:footer="992" w:gutter="0"/>
          <w:cols w:space="425" w:num="1"/>
          <w:docGrid w:type="lines" w:linePitch="312" w:charSpace="0"/>
        </w:sectPr>
      </w:pPr>
    </w:p>
    <w:p>
      <w:pPr>
        <w:spacing w:line="480" w:lineRule="auto"/>
        <w:jc w:val="left"/>
        <w:rPr>
          <w:rFonts w:ascii="宋体" w:hAnsi="宋体" w:eastAsia="宋体"/>
          <w:b/>
          <w:color w:val="000000"/>
          <w:sz w:val="28"/>
        </w:rPr>
      </w:pPr>
      <w:r>
        <w:rPr>
          <w:rFonts w:ascii="宋体" w:hAnsi="宋体" w:eastAsia="宋体"/>
          <w:b/>
          <w:color w:val="000000"/>
          <w:sz w:val="28"/>
        </w:rPr>
        <w:t>（二）专项项目安排说明</w:t>
      </w:r>
    </w:p>
    <w:p>
      <w:pPr>
        <w:jc w:val="center"/>
        <w:rPr>
          <w:rFonts w:ascii="宋体" w:cs="宋体"/>
          <w:b/>
          <w:bCs/>
          <w:sz w:val="44"/>
          <w:szCs w:val="44"/>
        </w:rPr>
      </w:pPr>
      <w:r>
        <w:rPr>
          <w:rFonts w:hint="eastAsia" w:ascii="宋体" w:hAnsi="宋体" w:cs="宋体"/>
          <w:b/>
          <w:bCs/>
          <w:sz w:val="44"/>
          <w:szCs w:val="44"/>
        </w:rPr>
        <w:t>农村产权交易中心运营费用项目</w:t>
      </w:r>
    </w:p>
    <w:p>
      <w:pPr>
        <w:spacing w:line="560" w:lineRule="exact"/>
        <w:ind w:firstLine="640" w:firstLineChars="200"/>
        <w:rPr>
          <w:rFonts w:ascii="仿宋" w:hAnsi="仿宋" w:eastAsia="仿宋" w:cs="仿宋"/>
          <w:sz w:val="32"/>
          <w:szCs w:val="32"/>
        </w:rPr>
      </w:pPr>
    </w:p>
    <w:p>
      <w:pPr>
        <w:spacing w:line="560" w:lineRule="exact"/>
        <w:ind w:firstLine="420" w:firstLineChars="200"/>
        <w:rPr>
          <w:rFonts w:ascii="宋体" w:cs="仿宋"/>
          <w:szCs w:val="21"/>
        </w:rPr>
      </w:pPr>
      <w:r>
        <w:rPr>
          <w:rFonts w:hint="eastAsia" w:ascii="宋体" w:hAnsi="宋体" w:cs="仿宋"/>
          <w:szCs w:val="21"/>
        </w:rPr>
        <w:t>一、项目基本情况</w:t>
      </w:r>
    </w:p>
    <w:p>
      <w:pPr>
        <w:spacing w:line="360" w:lineRule="auto"/>
        <w:ind w:firstLine="420" w:firstLineChars="200"/>
        <w:rPr>
          <w:rFonts w:ascii="宋体" w:cs="仿宋"/>
          <w:szCs w:val="21"/>
        </w:rPr>
      </w:pPr>
      <w:r>
        <w:rPr>
          <w:rFonts w:hint="eastAsia" w:ascii="宋体" w:hAnsi="宋体" w:cs="仿宋"/>
          <w:szCs w:val="21"/>
        </w:rPr>
        <w:t>按照《河北省人民政府办公厅关于印发河北省农村产权交易中心组建方案和河北省农村产权交易管理办法（试行）的通知》（冀政办字</w:t>
      </w:r>
      <w:r>
        <w:rPr>
          <w:rFonts w:ascii="宋体" w:hAnsi="宋体" w:cs="仿宋"/>
          <w:szCs w:val="21"/>
        </w:rPr>
        <w:t>[2015]33</w:t>
      </w:r>
      <w:r>
        <w:rPr>
          <w:rFonts w:hint="eastAsia" w:ascii="宋体" w:hAnsi="宋体" w:cs="仿宋"/>
          <w:szCs w:val="21"/>
        </w:rPr>
        <w:t>号）和《唐山市人民政府办公厅关于农村产权流转交易市场建设的实施意见》（唐政办</w:t>
      </w:r>
      <w:r>
        <w:rPr>
          <w:rFonts w:ascii="宋体" w:hAnsi="宋体" w:cs="仿宋"/>
          <w:szCs w:val="21"/>
        </w:rPr>
        <w:t>[2015]26</w:t>
      </w:r>
      <w:r>
        <w:rPr>
          <w:rFonts w:hint="eastAsia" w:ascii="宋体" w:hAnsi="宋体" w:cs="仿宋"/>
          <w:szCs w:val="21"/>
        </w:rPr>
        <w:t>号）要求，唐山市供销合作总社于</w:t>
      </w:r>
      <w:r>
        <w:rPr>
          <w:rFonts w:ascii="宋体" w:hAnsi="宋体" w:cs="仿宋"/>
          <w:szCs w:val="21"/>
        </w:rPr>
        <w:t>2016</w:t>
      </w:r>
      <w:r>
        <w:rPr>
          <w:rFonts w:hint="eastAsia" w:ascii="宋体" w:hAnsi="宋体" w:cs="仿宋"/>
          <w:szCs w:val="21"/>
        </w:rPr>
        <w:t>年</w:t>
      </w:r>
      <w:r>
        <w:rPr>
          <w:rFonts w:ascii="宋体" w:hAnsi="宋体" w:cs="仿宋"/>
          <w:szCs w:val="21"/>
        </w:rPr>
        <w:t>3</w:t>
      </w:r>
      <w:r>
        <w:rPr>
          <w:rFonts w:hint="eastAsia" w:ascii="宋体" w:hAnsi="宋体" w:cs="仿宋"/>
          <w:szCs w:val="21"/>
        </w:rPr>
        <w:t>月</w:t>
      </w:r>
      <w:r>
        <w:rPr>
          <w:rFonts w:hint="eastAsia" w:ascii="宋体" w:hAnsi="宋体" w:cs="仿宋"/>
          <w:szCs w:val="21"/>
          <w:shd w:val="clear" w:color="auto" w:fill="FFFFFF"/>
        </w:rPr>
        <w:t>注册成立</w:t>
      </w:r>
      <w:r>
        <w:rPr>
          <w:rFonts w:hint="eastAsia" w:ascii="宋体" w:hAnsi="宋体" w:cs="仿宋"/>
          <w:szCs w:val="21"/>
        </w:rPr>
        <w:t>唐山市</w:t>
      </w:r>
      <w:r>
        <w:rPr>
          <w:rFonts w:hint="eastAsia" w:ascii="宋体" w:hAnsi="宋体" w:cs="仿宋"/>
          <w:szCs w:val="21"/>
          <w:shd w:val="clear" w:color="auto" w:fill="FFFFFF"/>
        </w:rPr>
        <w:t>农村产权交易有限公司，挂“</w:t>
      </w:r>
      <w:r>
        <w:rPr>
          <w:rFonts w:hint="eastAsia" w:ascii="宋体" w:hAnsi="宋体" w:cs="仿宋"/>
          <w:szCs w:val="21"/>
        </w:rPr>
        <w:t>唐山</w:t>
      </w:r>
      <w:r>
        <w:rPr>
          <w:rFonts w:hint="eastAsia" w:ascii="宋体" w:hAnsi="宋体" w:cs="仿宋"/>
          <w:szCs w:val="21"/>
          <w:shd w:val="clear" w:color="auto" w:fill="FFFFFF"/>
        </w:rPr>
        <w:t>市农村产权流转交易中心”牌子。其职能主要是：受唐山市政府委托，发布全市农村产权流转交易信息，组织跨区域和大宗农村产权流转交易，依法为农村各类产权的流转交易提供网络平台、场所设施、交易登记、贸易咨询等综合性服务。唐山市农村产权流转交易中心按照省委、省政府，市委、市政府文件要求定性为</w:t>
      </w:r>
      <w:r>
        <w:rPr>
          <w:rFonts w:hint="eastAsia" w:ascii="宋体" w:hAnsi="宋体" w:cs="仿宋"/>
          <w:szCs w:val="21"/>
        </w:rPr>
        <w:t>服务“三农”的非</w:t>
      </w:r>
      <w:r>
        <w:rPr>
          <w:rFonts w:hint="eastAsia" w:ascii="宋体" w:hAnsi="宋体" w:cs="仿宋"/>
          <w:szCs w:val="21"/>
          <w:lang w:eastAsia="zh-CN"/>
        </w:rPr>
        <w:t>营利</w:t>
      </w:r>
      <w:r>
        <w:rPr>
          <w:rFonts w:hint="eastAsia" w:ascii="宋体" w:hAnsi="宋体" w:cs="仿宋"/>
          <w:szCs w:val="21"/>
        </w:rPr>
        <w:t>性机构。</w:t>
      </w:r>
    </w:p>
    <w:p>
      <w:pPr>
        <w:spacing w:line="360" w:lineRule="auto"/>
        <w:ind w:firstLine="420" w:firstLineChars="200"/>
        <w:rPr>
          <w:rFonts w:ascii="宋体" w:cs="仿宋"/>
          <w:szCs w:val="21"/>
        </w:rPr>
      </w:pPr>
      <w:r>
        <w:rPr>
          <w:rFonts w:hint="eastAsia" w:ascii="宋体" w:hAnsi="宋体"/>
          <w:szCs w:val="21"/>
        </w:rPr>
        <w:t>项目建设的主要内容是指导、协助各县农村产权交易业务有效、持续的发展，为路南区、路北区、高新技术产业开发区、汉沽管理区、芦台经济开发区、海港经济开发区、唐山国际旅游岛以及全市跨区域和</w:t>
      </w:r>
      <w:r>
        <w:rPr>
          <w:rFonts w:ascii="宋体" w:hAnsi="宋体"/>
          <w:szCs w:val="21"/>
        </w:rPr>
        <w:t>100</w:t>
      </w:r>
      <w:r>
        <w:rPr>
          <w:rFonts w:hint="eastAsia" w:ascii="宋体" w:hAnsi="宋体"/>
          <w:szCs w:val="21"/>
        </w:rPr>
        <w:t>万以上大宗农村产权提供发布交易信息、受理交易咨询和申请、协助产权查询、组织交易、出具产权流转交易鉴证书，协助办理产权变更登记和资金结算手续等基本服务</w:t>
      </w:r>
      <w:r>
        <w:rPr>
          <w:rFonts w:hint="eastAsia" w:ascii="宋体" w:hAnsi="宋体" w:cs="仿宋_GB2312"/>
          <w:szCs w:val="21"/>
        </w:rPr>
        <w:t>。</w:t>
      </w:r>
      <w:r>
        <w:rPr>
          <w:rFonts w:hint="eastAsia" w:ascii="宋体" w:hAnsi="宋体" w:cs="仿宋"/>
          <w:szCs w:val="21"/>
        </w:rPr>
        <w:t>在推进农村承包土地经营权确权登记、农村集体产权制度改革，促进各类农村产权入市规范交易，推动农民增收和农村集体资产保值和增值，发挥积极作用。</w:t>
      </w:r>
    </w:p>
    <w:p>
      <w:pPr>
        <w:spacing w:line="360" w:lineRule="auto"/>
        <w:ind w:firstLine="420" w:firstLineChars="200"/>
        <w:rPr>
          <w:rFonts w:ascii="宋体" w:cs="仿宋"/>
          <w:szCs w:val="21"/>
        </w:rPr>
      </w:pPr>
      <w:r>
        <w:rPr>
          <w:rFonts w:hint="eastAsia" w:ascii="宋体" w:hAnsi="宋体" w:cs="宋体"/>
          <w:szCs w:val="21"/>
        </w:rPr>
        <w:t>二、资金测算</w:t>
      </w:r>
    </w:p>
    <w:p>
      <w:pPr>
        <w:ind w:firstLine="315" w:firstLineChars="150"/>
        <w:rPr>
          <w:rFonts w:hint="eastAsia"/>
        </w:rPr>
      </w:pPr>
      <w:r>
        <w:rPr>
          <w:rFonts w:hint="eastAsia"/>
        </w:rPr>
        <w:t>办公费  5.3万</w:t>
      </w:r>
    </w:p>
    <w:p>
      <w:pPr>
        <w:ind w:firstLine="315" w:firstLineChars="150"/>
        <w:rPr>
          <w:rFonts w:hint="eastAsia"/>
        </w:rPr>
      </w:pPr>
      <w:r>
        <w:rPr>
          <w:rFonts w:hint="eastAsia"/>
        </w:rPr>
        <w:t>网络平台升级维护  7.5万</w:t>
      </w:r>
    </w:p>
    <w:p>
      <w:pPr>
        <w:ind w:firstLine="315" w:firstLineChars="150"/>
        <w:rPr>
          <w:rFonts w:hint="eastAsia"/>
        </w:rPr>
      </w:pPr>
      <w:r>
        <w:rPr>
          <w:rFonts w:hint="eastAsia"/>
        </w:rPr>
        <w:t>7个区分中心建设费10.7万</w:t>
      </w:r>
    </w:p>
    <w:p>
      <w:pPr>
        <w:ind w:firstLine="315" w:firstLineChars="150"/>
        <w:rPr>
          <w:rFonts w:hint="eastAsia"/>
        </w:rPr>
      </w:pPr>
      <w:r>
        <w:rPr>
          <w:rFonts w:hint="eastAsia"/>
        </w:rPr>
        <w:t>市级工作会议费4万</w:t>
      </w:r>
    </w:p>
    <w:p>
      <w:pPr>
        <w:ind w:firstLine="315" w:firstLineChars="150"/>
        <w:rPr>
          <w:rFonts w:hint="eastAsia"/>
        </w:rPr>
      </w:pPr>
      <w:r>
        <w:rPr>
          <w:rFonts w:hint="eastAsia"/>
        </w:rPr>
        <w:t>宣传培训费15万</w:t>
      </w:r>
    </w:p>
    <w:p>
      <w:pPr>
        <w:ind w:firstLine="315" w:firstLineChars="150"/>
        <w:rPr>
          <w:rFonts w:hint="eastAsia"/>
        </w:rPr>
      </w:pPr>
      <w:r>
        <w:rPr>
          <w:rFonts w:hint="eastAsia"/>
        </w:rPr>
        <w:t>差旅费3万</w:t>
      </w:r>
    </w:p>
    <w:p>
      <w:pPr>
        <w:ind w:firstLine="315" w:firstLineChars="150"/>
        <w:rPr>
          <w:rFonts w:hint="eastAsia"/>
        </w:rPr>
      </w:pPr>
      <w:r>
        <w:rPr>
          <w:rFonts w:hint="eastAsia"/>
        </w:rPr>
        <w:t>车辆费4.5万</w:t>
      </w:r>
    </w:p>
    <w:p>
      <w:pPr>
        <w:spacing w:line="360" w:lineRule="auto"/>
        <w:ind w:firstLine="315" w:firstLineChars="150"/>
        <w:rPr>
          <w:rFonts w:hint="eastAsia"/>
        </w:rPr>
      </w:pPr>
      <w:r>
        <w:rPr>
          <w:rFonts w:hint="eastAsia"/>
        </w:rPr>
        <w:t xml:space="preserve">共计50万    </w:t>
      </w:r>
    </w:p>
    <w:p>
      <w:pPr>
        <w:spacing w:line="360" w:lineRule="auto"/>
        <w:ind w:firstLine="420" w:firstLineChars="200"/>
        <w:rPr>
          <w:rFonts w:ascii="宋体" w:cs="楷体"/>
          <w:bCs/>
          <w:szCs w:val="21"/>
        </w:rPr>
      </w:pPr>
      <w:r>
        <w:rPr>
          <w:rFonts w:hint="eastAsia" w:ascii="宋体" w:hAnsi="宋体" w:cs="宋体"/>
          <w:bCs/>
          <w:szCs w:val="21"/>
        </w:rPr>
        <w:t>三、立项依据</w:t>
      </w:r>
    </w:p>
    <w:p>
      <w:pPr>
        <w:spacing w:line="360" w:lineRule="auto"/>
        <w:ind w:firstLine="422" w:firstLineChars="200"/>
        <w:rPr>
          <w:rFonts w:ascii="宋体" w:cs="仿宋_GB2312"/>
          <w:b/>
          <w:szCs w:val="21"/>
        </w:rPr>
      </w:pPr>
      <w:r>
        <w:rPr>
          <w:rFonts w:hint="eastAsia" w:ascii="宋体" w:hAnsi="宋体" w:cs="仿宋_GB2312"/>
          <w:b/>
          <w:szCs w:val="21"/>
        </w:rPr>
        <w:t>（一）市委、市政府文件对该项目工作做出明确指示。</w:t>
      </w:r>
    </w:p>
    <w:p>
      <w:pPr>
        <w:spacing w:line="360" w:lineRule="auto"/>
        <w:ind w:firstLine="420" w:firstLineChars="200"/>
        <w:rPr>
          <w:rFonts w:ascii="宋体" w:cs="仿宋"/>
          <w:szCs w:val="21"/>
        </w:rPr>
      </w:pPr>
      <w:r>
        <w:rPr>
          <w:rFonts w:hint="eastAsia" w:ascii="宋体" w:hAnsi="宋体" w:cs="仿宋_GB2312"/>
          <w:szCs w:val="21"/>
        </w:rPr>
        <w:t>《中共唐山市委、唐山市人民政府关于坚持农业农村优先发展扎实推进乡村振兴战略的实施意见》（唐发</w:t>
      </w:r>
      <w:r>
        <w:rPr>
          <w:rFonts w:ascii="宋体" w:hAnsi="宋体" w:cs="仿宋_GB2312"/>
          <w:szCs w:val="21"/>
        </w:rPr>
        <w:t>[2019]6</w:t>
      </w:r>
      <w:r>
        <w:rPr>
          <w:rFonts w:hint="eastAsia" w:ascii="宋体" w:hAnsi="宋体" w:cs="仿宋_GB2312"/>
          <w:szCs w:val="21"/>
        </w:rPr>
        <w:t>号）文件规定：“推进市县乡村“四位一体”农村产权交易组织体系全覆盖，健全完善农村产权流转交易中心内部制度，规范交易行为，提升服务功能，积极引导土地承包经营权、林权、集体经营性和资源性资产等各类农村产权入市流转交易。”和“充分发挥市、县农村产权流转交易中心作用，引导涉农金融机构，做好“农权贷”等农村产权制度改革金融服务，推进产权抵押和生产订单，农业保单融资。”</w:t>
      </w:r>
      <w:r>
        <w:rPr>
          <w:rFonts w:ascii="宋体" w:hAnsi="宋体"/>
          <w:szCs w:val="21"/>
        </w:rPr>
        <w:t xml:space="preserve"> </w:t>
      </w:r>
      <w:r>
        <w:rPr>
          <w:rFonts w:hint="eastAsia" w:ascii="宋体" w:hAnsi="宋体"/>
          <w:szCs w:val="21"/>
        </w:rPr>
        <w:t>（</w:t>
      </w:r>
      <w:r>
        <w:rPr>
          <w:rFonts w:ascii="宋体" w:hAnsi="宋体"/>
          <w:szCs w:val="21"/>
        </w:rPr>
        <w:t>1</w:t>
      </w:r>
      <w:r>
        <w:rPr>
          <w:rFonts w:hint="eastAsia" w:ascii="宋体" w:hAnsi="宋体"/>
          <w:szCs w:val="21"/>
        </w:rPr>
        <w:t>）《河北省政务服务管理办公室、河北省供销合作总社关于农村集体产权交易纳入公共资源交易平台的通知》（冀政务办</w:t>
      </w:r>
      <w:r>
        <w:rPr>
          <w:rFonts w:ascii="宋体" w:hAnsi="宋体"/>
          <w:szCs w:val="21"/>
        </w:rPr>
        <w:t>[2019]146</w:t>
      </w:r>
      <w:r>
        <w:rPr>
          <w:rFonts w:hint="eastAsia" w:ascii="宋体" w:hAnsi="宋体"/>
          <w:szCs w:val="21"/>
        </w:rPr>
        <w:t>号）文件规定：“农村集体产权交易项目纳入公共资源交易平台进行交易，公共资源交易中心根据农村产权交易中心需求，增设农村集体产权交易窗口。”</w:t>
      </w:r>
    </w:p>
    <w:p>
      <w:pPr>
        <w:spacing w:line="360" w:lineRule="auto"/>
        <w:ind w:firstLine="420" w:firstLineChars="200"/>
        <w:rPr>
          <w:rFonts w:ascii="宋体" w:cs="仿宋"/>
          <w:szCs w:val="21"/>
        </w:rPr>
      </w:pPr>
      <w:r>
        <w:rPr>
          <w:rFonts w:hint="eastAsia" w:ascii="宋体" w:hAnsi="宋体" w:cs="仿宋"/>
          <w:szCs w:val="21"/>
        </w:rPr>
        <w:t>《唐山市人民政府办公厅关于农村产权流转交易市场建设的实施意见》（唐政办</w:t>
      </w:r>
      <w:r>
        <w:rPr>
          <w:rFonts w:ascii="宋体" w:hAnsi="宋体" w:cs="仿宋"/>
          <w:szCs w:val="21"/>
        </w:rPr>
        <w:t>[2015]26</w:t>
      </w:r>
      <w:r>
        <w:rPr>
          <w:rFonts w:hint="eastAsia" w:ascii="宋体" w:hAnsi="宋体" w:cs="仿宋"/>
          <w:szCs w:val="21"/>
        </w:rPr>
        <w:t>号）文件规定：“农村产权流转交易市场是政府主导、服务“三农”的非</w:t>
      </w:r>
      <w:r>
        <w:rPr>
          <w:rFonts w:hint="eastAsia" w:ascii="宋体" w:hAnsi="宋体" w:cs="仿宋"/>
          <w:szCs w:val="21"/>
          <w:lang w:eastAsia="zh-CN"/>
        </w:rPr>
        <w:t>营利</w:t>
      </w:r>
      <w:r>
        <w:rPr>
          <w:rFonts w:hint="eastAsia" w:ascii="宋体" w:hAnsi="宋体" w:cs="仿宋"/>
          <w:szCs w:val="21"/>
        </w:rPr>
        <w:t>性机构，开办及运转费用</w:t>
      </w:r>
      <w:r>
        <w:rPr>
          <w:rFonts w:hint="eastAsia" w:ascii="宋体" w:hAnsi="宋体" w:cs="仿宋"/>
          <w:i/>
          <w:szCs w:val="21"/>
          <w:u w:val="single"/>
        </w:rPr>
        <w:t>市财政给予必要的支持。</w:t>
      </w:r>
      <w:r>
        <w:rPr>
          <w:rFonts w:hint="eastAsia" w:ascii="宋体" w:hAnsi="宋体" w:cs="仿宋"/>
          <w:szCs w:val="21"/>
        </w:rPr>
        <w:t>”</w:t>
      </w:r>
    </w:p>
    <w:p>
      <w:pPr>
        <w:spacing w:line="360" w:lineRule="auto"/>
        <w:ind w:firstLine="420" w:firstLineChars="200"/>
        <w:rPr>
          <w:rFonts w:ascii="宋体" w:cs="仿宋"/>
          <w:szCs w:val="21"/>
        </w:rPr>
      </w:pPr>
      <w:r>
        <w:rPr>
          <w:rFonts w:hint="eastAsia" w:ascii="宋体" w:hAnsi="宋体" w:cs="仿宋"/>
          <w:szCs w:val="21"/>
        </w:rPr>
        <w:t>《河北省人民政府办公厅关于引导农村产权流转交易市场健康发展的实施意见》（冀政办字</w:t>
      </w:r>
      <w:r>
        <w:rPr>
          <w:rFonts w:ascii="宋体" w:hAnsi="宋体" w:cs="仿宋"/>
          <w:szCs w:val="21"/>
        </w:rPr>
        <w:t>[2015]14</w:t>
      </w:r>
      <w:r>
        <w:rPr>
          <w:rFonts w:hint="eastAsia" w:ascii="宋体" w:hAnsi="宋体" w:cs="仿宋"/>
          <w:szCs w:val="21"/>
        </w:rPr>
        <w:t>号）文件规定：“农村产权流转交易市场是政府主导、服务“三农”的非</w:t>
      </w:r>
      <w:r>
        <w:rPr>
          <w:rFonts w:hint="eastAsia" w:ascii="宋体" w:hAnsi="宋体" w:cs="仿宋"/>
          <w:szCs w:val="21"/>
          <w:lang w:eastAsia="zh-CN"/>
        </w:rPr>
        <w:t>营利</w:t>
      </w:r>
      <w:r>
        <w:rPr>
          <w:rFonts w:hint="eastAsia" w:ascii="宋体" w:hAnsi="宋体" w:cs="仿宋"/>
          <w:szCs w:val="21"/>
        </w:rPr>
        <w:t>性机构。”</w:t>
      </w:r>
    </w:p>
    <w:p>
      <w:pPr>
        <w:spacing w:line="360" w:lineRule="auto"/>
        <w:ind w:firstLine="420" w:firstLineChars="200"/>
        <w:rPr>
          <w:rFonts w:ascii="宋体" w:cs="仿宋"/>
          <w:b/>
          <w:bCs/>
          <w:szCs w:val="21"/>
        </w:rPr>
      </w:pPr>
      <w:r>
        <w:rPr>
          <w:rFonts w:hint="eastAsia" w:ascii="宋体" w:hAnsi="宋体" w:cs="仿宋"/>
          <w:szCs w:val="21"/>
        </w:rPr>
        <w:t>《国务院办公厅关于引导农村产权流转交易市场健康发展的意见》（国办发</w:t>
      </w:r>
      <w:r>
        <w:rPr>
          <w:rFonts w:ascii="宋体" w:hAnsi="宋体" w:cs="仿宋"/>
          <w:szCs w:val="21"/>
        </w:rPr>
        <w:t>[2014]71</w:t>
      </w:r>
      <w:r>
        <w:rPr>
          <w:rFonts w:hint="eastAsia" w:ascii="宋体" w:hAnsi="宋体" w:cs="仿宋"/>
          <w:szCs w:val="21"/>
        </w:rPr>
        <w:t>号）文件规定：“农村产权流转交易市场是政府主导、服务“三农”的非</w:t>
      </w:r>
      <w:r>
        <w:rPr>
          <w:rFonts w:hint="eastAsia" w:ascii="宋体" w:hAnsi="宋体" w:cs="仿宋"/>
          <w:szCs w:val="21"/>
          <w:lang w:eastAsia="zh-CN"/>
        </w:rPr>
        <w:t>营利</w:t>
      </w:r>
      <w:r>
        <w:rPr>
          <w:rFonts w:hint="eastAsia" w:ascii="宋体" w:hAnsi="宋体" w:cs="仿宋"/>
          <w:szCs w:val="21"/>
        </w:rPr>
        <w:t>性机构。”</w:t>
      </w:r>
    </w:p>
    <w:p>
      <w:pPr>
        <w:spacing w:line="360" w:lineRule="auto"/>
        <w:rPr>
          <w:rFonts w:ascii="宋体" w:cs="仿宋_GB2312"/>
          <w:szCs w:val="21"/>
        </w:rPr>
      </w:pPr>
    </w:p>
    <w:p>
      <w:pPr>
        <w:spacing w:line="360" w:lineRule="auto"/>
        <w:ind w:firstLine="422" w:firstLineChars="200"/>
        <w:rPr>
          <w:rFonts w:ascii="宋体" w:cs="仿宋_GB2312"/>
          <w:b/>
          <w:szCs w:val="21"/>
        </w:rPr>
      </w:pPr>
      <w:r>
        <w:rPr>
          <w:rFonts w:hint="eastAsia" w:ascii="宋体" w:hAnsi="宋体" w:cs="仿宋_GB2312"/>
          <w:b/>
          <w:szCs w:val="21"/>
        </w:rPr>
        <w:t>（二）市委、市政府有关职能部门下发文件共同推动。</w:t>
      </w:r>
    </w:p>
    <w:p>
      <w:pPr>
        <w:spacing w:line="360" w:lineRule="auto"/>
        <w:ind w:firstLine="420" w:firstLineChars="200"/>
        <w:rPr>
          <w:rFonts w:ascii="宋体" w:cs="仿宋_GB2312"/>
          <w:szCs w:val="21"/>
        </w:rPr>
      </w:pPr>
      <w:r>
        <w:rPr>
          <w:rFonts w:hint="eastAsia" w:ascii="宋体" w:hAnsi="宋体" w:cs="仿宋_GB2312"/>
          <w:szCs w:val="21"/>
        </w:rPr>
        <w:t>市委农村工作领导小组下发《关于印发唐山市农村产权交易中心</w:t>
      </w:r>
      <w:r>
        <w:rPr>
          <w:rFonts w:ascii="宋体" w:hAnsi="宋体" w:cs="仿宋_GB2312"/>
          <w:szCs w:val="21"/>
        </w:rPr>
        <w:t>11</w:t>
      </w:r>
      <w:r>
        <w:rPr>
          <w:rFonts w:hint="eastAsia" w:ascii="宋体" w:hAnsi="宋体" w:cs="仿宋_GB2312"/>
          <w:szCs w:val="21"/>
        </w:rPr>
        <w:t>类农村产权交易规则的通知》、《关于充分发挥农村产权流转交易中心作用、促进农村产权进市交易的通知》、《唐山市农村产权流转交易中心分中心建设办法》；</w:t>
      </w:r>
    </w:p>
    <w:p>
      <w:pPr>
        <w:spacing w:line="360" w:lineRule="auto"/>
        <w:ind w:firstLine="420" w:firstLineChars="200"/>
        <w:rPr>
          <w:rFonts w:ascii="宋体" w:cs="仿宋_GB2312"/>
          <w:szCs w:val="21"/>
        </w:rPr>
      </w:pPr>
      <w:r>
        <w:rPr>
          <w:rFonts w:hint="eastAsia" w:ascii="宋体" w:hAnsi="宋体" w:cs="仿宋_GB2312"/>
          <w:szCs w:val="21"/>
        </w:rPr>
        <w:t>市政府办公厅下发《唐山市农村产权交易管理办法的通知》；</w:t>
      </w:r>
    </w:p>
    <w:p>
      <w:pPr>
        <w:spacing w:line="360" w:lineRule="auto"/>
        <w:ind w:firstLine="420" w:firstLineChars="200"/>
        <w:rPr>
          <w:rFonts w:ascii="宋体" w:cs="仿宋_GB2312"/>
          <w:szCs w:val="21"/>
        </w:rPr>
      </w:pPr>
      <w:r>
        <w:rPr>
          <w:rFonts w:hint="eastAsia" w:ascii="宋体" w:hAnsi="宋体" w:cs="仿宋_GB2312"/>
          <w:szCs w:val="21"/>
        </w:rPr>
        <w:t>市委农工委、唐山市农牧局、唐山市金融办、中国人民银行唐山市中西支行联合下发《关于做好农村产权抵押融资工作的通知》；</w:t>
      </w:r>
    </w:p>
    <w:p>
      <w:pPr>
        <w:spacing w:line="360" w:lineRule="auto"/>
        <w:ind w:firstLine="420" w:firstLineChars="200"/>
        <w:rPr>
          <w:rFonts w:ascii="宋体" w:cs="仿宋_GB2312"/>
          <w:szCs w:val="21"/>
        </w:rPr>
      </w:pPr>
      <w:r>
        <w:rPr>
          <w:rFonts w:hint="eastAsia" w:ascii="宋体" w:hAnsi="宋体" w:cs="仿宋_GB2312"/>
          <w:szCs w:val="21"/>
        </w:rPr>
        <w:t>唐山市供销合作总社与唐山市农牧局联合下发《关于推动农村土地承包经营权等农村产权入市交易的通知》；</w:t>
      </w:r>
    </w:p>
    <w:p>
      <w:pPr>
        <w:spacing w:line="360" w:lineRule="auto"/>
        <w:ind w:firstLine="420" w:firstLineChars="200"/>
        <w:rPr>
          <w:rFonts w:ascii="宋体" w:cs="仿宋_GB2312"/>
          <w:szCs w:val="21"/>
        </w:rPr>
      </w:pPr>
      <w:r>
        <w:rPr>
          <w:rFonts w:hint="eastAsia" w:ascii="宋体" w:hAnsi="宋体" w:cs="仿宋_GB2312"/>
          <w:szCs w:val="21"/>
        </w:rPr>
        <w:t>唐山市供销合作总社与唐山市林业局联合下发《关于推动林权入市交易和抵押贷款工作的通知》。</w:t>
      </w:r>
    </w:p>
    <w:p>
      <w:r>
        <w:rPr>
          <w:rFonts w:hint="eastAsia"/>
        </w:rPr>
        <w:t xml:space="preserve"> </w:t>
      </w:r>
    </w:p>
    <w:p>
      <w:pPr>
        <w:spacing w:line="360" w:lineRule="auto"/>
        <w:jc w:val="left"/>
        <w:rPr>
          <w:rFonts w:ascii="宋体" w:hAnsi="宋体" w:eastAsia="宋体"/>
          <w:b/>
          <w:color w:val="000000"/>
          <w:sz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rFonts w:hint="eastAsia"/>
      </w:rPr>
      <w:t xml:space="preserve">第 </w:t>
    </w:r>
    <w:r>
      <w:fldChar w:fldCharType="begin"/>
    </w:r>
    <w:r>
      <w:instrText xml:space="preserve"> </w:instrText>
    </w:r>
    <w:r>
      <w:rPr>
        <w:rFonts w:hint="eastAsia"/>
      </w:rPr>
      <w:instrText xml:space="preserve">Page \* MERGEFORMAT</w:instrText>
    </w:r>
    <w:r>
      <w:instrText xml:space="preserve"> </w:instrText>
    </w:r>
    <w:r>
      <w:fldChar w:fldCharType="separate"/>
    </w:r>
    <w:r>
      <w:t>48</w:t>
    </w:r>
    <w:r>
      <w:fldChar w:fldCharType="end"/>
    </w:r>
    <w:r>
      <w:rPr>
        <w:rFonts w:hint="eastAsia"/>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M0MmM0ZjEyNDdiYTcwMWQ3NDU0N2ZhMDg1MDc0MmUifQ=="/>
    <w:docVar w:name="KSO_WPS_MARK_KEY" w:val="7b155d7b-4ace-41f7-89a2-bcc750b85851"/>
  </w:docVars>
  <w:rsids>
    <w:rsidRoot w:val="005E6B0E"/>
    <w:rsid w:val="005E6B0E"/>
    <w:rsid w:val="00B926BA"/>
    <w:rsid w:val="0DFC3C1E"/>
    <w:rsid w:val="1DA15A32"/>
    <w:rsid w:val="2DD25C35"/>
    <w:rsid w:val="4F252E57"/>
    <w:rsid w:val="7C820109"/>
    <w:rsid w:val="B17BCC59"/>
    <w:rsid w:val="CFF5BE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2"/>
    <w:qFormat/>
    <w:uiPriority w:val="9"/>
    <w:pPr>
      <w:keepNext/>
      <w:keepLines/>
      <w:spacing w:before="340" w:after="330" w:line="578" w:lineRule="auto"/>
      <w:outlineLvl w:val="0"/>
    </w:pPr>
    <w:rPr>
      <w:b/>
      <w:bCs/>
      <w:kern w:val="44"/>
      <w:sz w:val="44"/>
      <w:szCs w:val="4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Plain Text"/>
    <w:basedOn w:val="1"/>
    <w:link w:val="13"/>
    <w:qFormat/>
    <w:uiPriority w:val="0"/>
    <w:rPr>
      <w:rFonts w:ascii="宋体" w:hAnsi="Courier New" w:eastAsia="宋体" w:cs="Courier New"/>
      <w:szCs w:val="21"/>
    </w:rPr>
  </w:style>
  <w:style w:type="paragraph" w:styleId="4">
    <w:name w:val="footer"/>
    <w:basedOn w:val="1"/>
    <w:link w:val="17"/>
    <w:unhideWhenUsed/>
    <w:qFormat/>
    <w:uiPriority w:val="99"/>
    <w:pPr>
      <w:tabs>
        <w:tab w:val="center" w:pos="4153"/>
        <w:tab w:val="right" w:pos="8306"/>
      </w:tabs>
      <w:snapToGrid w:val="0"/>
      <w:jc w:val="left"/>
    </w:pPr>
    <w:rPr>
      <w:sz w:val="18"/>
      <w:szCs w:val="18"/>
    </w:rPr>
  </w:style>
  <w:style w:type="paragraph" w:styleId="5">
    <w:name w:val="header"/>
    <w:basedOn w:val="1"/>
    <w:link w:val="15"/>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eastAsia="宋体" w:cs="Times New Roman"/>
      <w:sz w:val="18"/>
      <w:szCs w:val="24"/>
    </w:rPr>
  </w:style>
  <w:style w:type="paragraph" w:styleId="6">
    <w:name w:val="toc 1"/>
    <w:basedOn w:val="1"/>
    <w:next w:val="1"/>
    <w:unhideWhenUsed/>
    <w:qFormat/>
    <w:uiPriority w:val="39"/>
  </w:style>
  <w:style w:type="paragraph" w:styleId="7">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8">
    <w:name w:val="Title"/>
    <w:basedOn w:val="1"/>
    <w:next w:val="1"/>
    <w:link w:val="16"/>
    <w:qFormat/>
    <w:uiPriority w:val="10"/>
    <w:pPr>
      <w:spacing w:before="240" w:after="60"/>
      <w:jc w:val="center"/>
      <w:outlineLvl w:val="0"/>
    </w:pPr>
    <w:rPr>
      <w:rFonts w:ascii="Cambria" w:hAnsi="Cambria" w:eastAsia="宋体" w:cs="Times New Roman"/>
      <w:b/>
      <w:bCs/>
      <w:sz w:val="32"/>
      <w:szCs w:val="32"/>
    </w:rPr>
  </w:style>
  <w:style w:type="character" w:styleId="11">
    <w:name w:val="Hyperlink"/>
    <w:basedOn w:val="10"/>
    <w:unhideWhenUsed/>
    <w:qFormat/>
    <w:uiPriority w:val="99"/>
    <w:rPr>
      <w:color w:val="0000FF" w:themeColor="hyperlink"/>
      <w:u w:val="single"/>
      <w14:textFill>
        <w14:solidFill>
          <w14:schemeClr w14:val="hlink"/>
        </w14:solidFill>
      </w14:textFill>
    </w:rPr>
  </w:style>
  <w:style w:type="character" w:customStyle="1" w:styleId="12">
    <w:name w:val="标题 1 Char"/>
    <w:basedOn w:val="10"/>
    <w:link w:val="2"/>
    <w:qFormat/>
    <w:uiPriority w:val="9"/>
    <w:rPr>
      <w:b/>
      <w:bCs/>
      <w:kern w:val="44"/>
      <w:sz w:val="44"/>
      <w:szCs w:val="44"/>
    </w:rPr>
  </w:style>
  <w:style w:type="character" w:customStyle="1" w:styleId="13">
    <w:name w:val="纯文本 Char"/>
    <w:basedOn w:val="10"/>
    <w:link w:val="3"/>
    <w:qFormat/>
    <w:uiPriority w:val="0"/>
    <w:rPr>
      <w:rFonts w:ascii="宋体" w:hAnsi="Courier New" w:eastAsia="宋体" w:cs="Courier New"/>
      <w:szCs w:val="21"/>
    </w:rPr>
  </w:style>
  <w:style w:type="paragraph" w:customStyle="1" w:styleId="14">
    <w:name w:val=" Char"/>
    <w:basedOn w:val="1"/>
    <w:qFormat/>
    <w:uiPriority w:val="0"/>
    <w:rPr>
      <w:rFonts w:ascii="Calibri" w:hAnsi="Calibri" w:eastAsia="Times New Roman" w:cs="Times New Roman"/>
      <w:kern w:val="0"/>
      <w:sz w:val="20"/>
      <w:szCs w:val="20"/>
      <w:lang w:val="en-US" w:eastAsia="zh-CN"/>
    </w:rPr>
  </w:style>
  <w:style w:type="character" w:customStyle="1" w:styleId="15">
    <w:name w:val="页眉 Char"/>
    <w:basedOn w:val="10"/>
    <w:link w:val="5"/>
    <w:qFormat/>
    <w:uiPriority w:val="99"/>
    <w:rPr>
      <w:rFonts w:ascii="Times New Roman" w:hAnsi="Times New Roman" w:eastAsia="宋体" w:cs="Times New Roman"/>
      <w:sz w:val="18"/>
      <w:szCs w:val="24"/>
    </w:rPr>
  </w:style>
  <w:style w:type="character" w:customStyle="1" w:styleId="16">
    <w:name w:val="标题 Char"/>
    <w:basedOn w:val="10"/>
    <w:link w:val="8"/>
    <w:qFormat/>
    <w:uiPriority w:val="10"/>
    <w:rPr>
      <w:rFonts w:ascii="Cambria" w:hAnsi="Cambria" w:eastAsia="宋体" w:cs="Times New Roman"/>
      <w:b/>
      <w:bCs/>
      <w:sz w:val="32"/>
      <w:szCs w:val="32"/>
    </w:rPr>
  </w:style>
  <w:style w:type="character" w:customStyle="1" w:styleId="17">
    <w:name w:val="页脚 Char"/>
    <w:basedOn w:val="10"/>
    <w:link w:val="4"/>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header" Target="header13.xml"/><Relationship Id="rId18" Type="http://schemas.openxmlformats.org/officeDocument/2006/relationships/header" Target="header12.xml"/><Relationship Id="rId17" Type="http://schemas.openxmlformats.org/officeDocument/2006/relationships/header" Target="header11.xml"/><Relationship Id="rId16" Type="http://schemas.openxmlformats.org/officeDocument/2006/relationships/header" Target="header10.xml"/><Relationship Id="rId15" Type="http://schemas.openxmlformats.org/officeDocument/2006/relationships/header" Target="header9.xml"/><Relationship Id="rId14" Type="http://schemas.openxmlformats.org/officeDocument/2006/relationships/header" Target="header8.xml"/><Relationship Id="rId13" Type="http://schemas.openxmlformats.org/officeDocument/2006/relationships/header" Target="header7.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49</Pages>
  <Words>18841</Words>
  <Characters>21690</Characters>
  <Lines>196</Lines>
  <Paragraphs>55</Paragraphs>
  <TotalTime>40</TotalTime>
  <ScaleCrop>false</ScaleCrop>
  <LinksUpToDate>false</LinksUpToDate>
  <CharactersWithSpaces>22245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2021-12-30T17:50:00Z</dcterms:created>
  <dc:creator>微软用户</dc:creator>
  <cp:lastModifiedBy>Administrator</cp:lastModifiedBy>
  <dcterms:modified xsi:type="dcterms:W3CDTF">2024-09-20T09:25:45Z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4474352B52754E0C8920F64EDED0C16B_12</vt:lpwstr>
  </property>
</Properties>
</file>