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一、唐山市供销合作总社本级收支预算</w:t>
      </w:r>
      <w:r>
        <w:tab/>
      </w:r>
      <w:r>
        <w:fldChar w:fldCharType="begin"/>
      </w:r>
      <w:r>
        <w:instrText xml:space="preserve">PAGEREF _Toc_4_4_0000000019 \h</w:instrText>
      </w:r>
      <w:r>
        <w:fldChar w:fldCharType="separate"/>
      </w:r>
      <w:r>
        <w:t>1</w:t>
      </w:r>
      <w:r>
        <w:fldChar w:fldCharType="end"/>
      </w:r>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一、唐山市供销合作总社本级收支预算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620001唐山市供销合作总社本级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1040.14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833.81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1040.14</w:t>
            </w:r>
          </w:p>
        </w:tc>
        <w:tc>
          <w:tcPr>
            <w:tcW w:w="4535" w:type="dxa"/>
            <w:vAlign w:val="center"/>
          </w:tcPr>
          <w:p>
            <w:pPr>
              <w:pStyle w:val="14"/>
            </w:pPr>
            <w:r>
              <w:t>本年支出合计</w:t>
            </w:r>
          </w:p>
        </w:tc>
        <w:tc>
          <w:tcPr>
            <w:tcW w:w="2126" w:type="dxa"/>
            <w:vAlign w:val="center"/>
          </w:tcPr>
          <w:p>
            <w:pPr>
              <w:pStyle w:val="15"/>
            </w:pPr>
            <w:r>
              <w:t>1040.14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1040.14</w:t>
            </w:r>
          </w:p>
        </w:tc>
        <w:tc>
          <w:tcPr>
            <w:tcW w:w="4535" w:type="dxa"/>
            <w:vAlign w:val="center"/>
          </w:tcPr>
          <w:p>
            <w:pPr>
              <w:pStyle w:val="14"/>
            </w:pPr>
            <w:r>
              <w:t>支出总计</w:t>
            </w:r>
          </w:p>
        </w:tc>
        <w:tc>
          <w:tcPr>
            <w:tcW w:w="2126" w:type="dxa"/>
            <w:vAlign w:val="center"/>
          </w:tcPr>
          <w:p>
            <w:pPr>
              <w:pStyle w:val="15"/>
            </w:pPr>
            <w:r>
              <w:t>1040.14</w:t>
            </w:r>
          </w:p>
        </w:tc>
      </w:tr>
    </w:tbl>
    <w:p>
      <w:pPr>
        <w:sectPr>
          <w:footerReference r:id="rId7" w:type="default"/>
          <w:footerReference r:id="rId8"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620001唐山市供销合作总社本级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1040.14</w:t>
            </w:r>
          </w:p>
        </w:tc>
        <w:tc>
          <w:tcPr>
            <w:tcW w:w="1134" w:type="dxa"/>
            <w:vAlign w:val="center"/>
          </w:tcPr>
          <w:p>
            <w:pPr>
              <w:pStyle w:val="15"/>
            </w:pPr>
            <w:r>
              <w:t>1040.14</w:t>
            </w:r>
          </w:p>
        </w:tc>
        <w:tc>
          <w:tcPr>
            <w:tcW w:w="1134" w:type="dxa"/>
            <w:vAlign w:val="center"/>
          </w:tcPr>
          <w:p>
            <w:pPr>
              <w:pStyle w:val="15"/>
            </w:pPr>
            <w:r>
              <w:t>1040.14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24.27</w:t>
            </w:r>
          </w:p>
        </w:tc>
        <w:tc>
          <w:tcPr>
            <w:tcW w:w="1134" w:type="dxa"/>
            <w:vAlign w:val="center"/>
          </w:tcPr>
          <w:p>
            <w:pPr>
              <w:pStyle w:val="11"/>
            </w:pPr>
            <w:r>
              <w:t>24.27</w:t>
            </w:r>
          </w:p>
        </w:tc>
        <w:tc>
          <w:tcPr>
            <w:tcW w:w="1134" w:type="dxa"/>
            <w:vAlign w:val="center"/>
          </w:tcPr>
          <w:p>
            <w:pPr>
              <w:pStyle w:val="11"/>
            </w:pPr>
            <w:r>
              <w:t>24.27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1040.14</w:t>
            </w:r>
          </w:p>
        </w:tc>
        <w:tc>
          <w:tcPr>
            <w:tcW w:w="1361" w:type="dxa"/>
            <w:vAlign w:val="center"/>
          </w:tcPr>
          <w:p>
            <w:pPr>
              <w:pStyle w:val="15"/>
            </w:pPr>
            <w:r>
              <w:t>984.31</w:t>
            </w:r>
          </w:p>
        </w:tc>
        <w:tc>
          <w:tcPr>
            <w:tcW w:w="1361" w:type="dxa"/>
            <w:vAlign w:val="center"/>
          </w:tcPr>
          <w:p>
            <w:pPr>
              <w:pStyle w:val="15"/>
            </w:pPr>
            <w:r>
              <w:t>55.83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46.26</w:t>
            </w:r>
          </w:p>
        </w:tc>
        <w:tc>
          <w:tcPr>
            <w:tcW w:w="1361" w:type="dxa"/>
            <w:vAlign w:val="center"/>
          </w:tcPr>
          <w:p>
            <w:pPr>
              <w:pStyle w:val="11"/>
            </w:pPr>
            <w:r>
              <w:t>46.26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46.26</w:t>
            </w:r>
          </w:p>
        </w:tc>
        <w:tc>
          <w:tcPr>
            <w:tcW w:w="1361" w:type="dxa"/>
            <w:vAlign w:val="center"/>
          </w:tcPr>
          <w:p>
            <w:pPr>
              <w:pStyle w:val="11"/>
            </w:pPr>
            <w:r>
              <w:t>46.26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21.99</w:t>
            </w:r>
          </w:p>
        </w:tc>
        <w:tc>
          <w:tcPr>
            <w:tcW w:w="1361" w:type="dxa"/>
            <w:vAlign w:val="center"/>
          </w:tcPr>
          <w:p>
            <w:pPr>
              <w:pStyle w:val="11"/>
            </w:pPr>
            <w:r>
              <w:t>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24.27</w:t>
            </w:r>
          </w:p>
        </w:tc>
        <w:tc>
          <w:tcPr>
            <w:tcW w:w="1361" w:type="dxa"/>
            <w:vAlign w:val="center"/>
          </w:tcPr>
          <w:p>
            <w:pPr>
              <w:pStyle w:val="11"/>
            </w:pPr>
            <w:r>
              <w:t>24.27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1040.14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2.90</w:t>
            </w:r>
          </w:p>
        </w:tc>
        <w:tc>
          <w:tcPr>
            <w:tcW w:w="1474" w:type="dxa"/>
            <w:vAlign w:val="center"/>
          </w:tcPr>
          <w:p>
            <w:pPr>
              <w:pStyle w:val="11"/>
            </w:pPr>
            <w:r>
              <w:t>2.90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61.24</w:t>
            </w:r>
          </w:p>
        </w:tc>
        <w:tc>
          <w:tcPr>
            <w:tcW w:w="1474" w:type="dxa"/>
            <w:vAlign w:val="center"/>
          </w:tcPr>
          <w:p>
            <w:pPr>
              <w:pStyle w:val="11"/>
            </w:pPr>
            <w:r>
              <w:t>61.24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46.26</w:t>
            </w:r>
          </w:p>
        </w:tc>
        <w:tc>
          <w:tcPr>
            <w:tcW w:w="1474" w:type="dxa"/>
            <w:vAlign w:val="center"/>
          </w:tcPr>
          <w:p>
            <w:pPr>
              <w:pStyle w:val="11"/>
            </w:pPr>
            <w:r>
              <w:t>46.26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833.81</w:t>
            </w:r>
          </w:p>
        </w:tc>
        <w:tc>
          <w:tcPr>
            <w:tcW w:w="1474" w:type="dxa"/>
            <w:vAlign w:val="center"/>
          </w:tcPr>
          <w:p>
            <w:pPr>
              <w:pStyle w:val="11"/>
            </w:pPr>
            <w:r>
              <w:t>833.81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45.93</w:t>
            </w:r>
          </w:p>
        </w:tc>
        <w:tc>
          <w:tcPr>
            <w:tcW w:w="1474" w:type="dxa"/>
            <w:vAlign w:val="center"/>
          </w:tcPr>
          <w:p>
            <w:pPr>
              <w:pStyle w:val="11"/>
            </w:pPr>
            <w:r>
              <w:t>45.93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1040.14</w:t>
            </w:r>
          </w:p>
        </w:tc>
        <w:tc>
          <w:tcPr>
            <w:tcW w:w="3402" w:type="dxa"/>
            <w:vAlign w:val="center"/>
          </w:tcPr>
          <w:p>
            <w:pPr>
              <w:pStyle w:val="14"/>
            </w:pPr>
            <w:r>
              <w:t>本年支出合计</w:t>
            </w:r>
          </w:p>
        </w:tc>
        <w:tc>
          <w:tcPr>
            <w:tcW w:w="1474" w:type="dxa"/>
            <w:vAlign w:val="center"/>
          </w:tcPr>
          <w:p>
            <w:pPr>
              <w:pStyle w:val="15"/>
            </w:pPr>
            <w:r>
              <w:t>1040.14</w:t>
            </w:r>
          </w:p>
        </w:tc>
        <w:tc>
          <w:tcPr>
            <w:tcW w:w="1474" w:type="dxa"/>
            <w:vAlign w:val="center"/>
          </w:tcPr>
          <w:p>
            <w:pPr>
              <w:pStyle w:val="15"/>
            </w:pPr>
            <w:r>
              <w:t>1040.14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1040.14</w:t>
            </w:r>
          </w:p>
        </w:tc>
        <w:tc>
          <w:tcPr>
            <w:tcW w:w="3402" w:type="dxa"/>
            <w:vAlign w:val="center"/>
          </w:tcPr>
          <w:p>
            <w:pPr>
              <w:pStyle w:val="14"/>
            </w:pPr>
            <w:r>
              <w:t>支出总计</w:t>
            </w:r>
          </w:p>
        </w:tc>
        <w:tc>
          <w:tcPr>
            <w:tcW w:w="1474" w:type="dxa"/>
            <w:vAlign w:val="center"/>
          </w:tcPr>
          <w:p>
            <w:pPr>
              <w:pStyle w:val="15"/>
            </w:pPr>
            <w:r>
              <w:t>1040.14</w:t>
            </w:r>
          </w:p>
        </w:tc>
        <w:tc>
          <w:tcPr>
            <w:tcW w:w="1474" w:type="dxa"/>
            <w:vAlign w:val="center"/>
          </w:tcPr>
          <w:p>
            <w:pPr>
              <w:pStyle w:val="15"/>
            </w:pPr>
            <w:r>
              <w:t>1040.14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1040.14</w:t>
            </w:r>
          </w:p>
        </w:tc>
        <w:tc>
          <w:tcPr>
            <w:tcW w:w="2551" w:type="dxa"/>
            <w:vAlign w:val="center"/>
          </w:tcPr>
          <w:p>
            <w:pPr>
              <w:pStyle w:val="15"/>
            </w:pPr>
            <w:r>
              <w:t>984.31</w:t>
            </w:r>
          </w:p>
        </w:tc>
        <w:tc>
          <w:tcPr>
            <w:tcW w:w="2551" w:type="dxa"/>
            <w:vAlign w:val="center"/>
          </w:tcPr>
          <w:p>
            <w:pPr>
              <w:pStyle w:val="15"/>
            </w:pPr>
            <w:r>
              <w:t>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46.26</w:t>
            </w:r>
          </w:p>
        </w:tc>
        <w:tc>
          <w:tcPr>
            <w:tcW w:w="2551" w:type="dxa"/>
            <w:vAlign w:val="center"/>
          </w:tcPr>
          <w:p>
            <w:pPr>
              <w:pStyle w:val="11"/>
            </w:pPr>
            <w:r>
              <w:t>46.26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46.26</w:t>
            </w:r>
          </w:p>
        </w:tc>
        <w:tc>
          <w:tcPr>
            <w:tcW w:w="2551" w:type="dxa"/>
            <w:vAlign w:val="center"/>
          </w:tcPr>
          <w:p>
            <w:pPr>
              <w:pStyle w:val="11"/>
            </w:pPr>
            <w:r>
              <w:t>46.26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24.27</w:t>
            </w:r>
          </w:p>
        </w:tc>
        <w:tc>
          <w:tcPr>
            <w:tcW w:w="2551" w:type="dxa"/>
            <w:vAlign w:val="center"/>
          </w:tcPr>
          <w:p>
            <w:pPr>
              <w:pStyle w:val="11"/>
            </w:pPr>
            <w:r>
              <w:t>24.27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984.31</w:t>
            </w:r>
          </w:p>
        </w:tc>
        <w:tc>
          <w:tcPr>
            <w:tcW w:w="2551" w:type="dxa"/>
            <w:vAlign w:val="center"/>
          </w:tcPr>
          <w:p>
            <w:pPr>
              <w:pStyle w:val="15"/>
            </w:pPr>
            <w:r>
              <w:t>872.50</w:t>
            </w:r>
          </w:p>
        </w:tc>
        <w:tc>
          <w:tcPr>
            <w:tcW w:w="2551" w:type="dxa"/>
            <w:vAlign w:val="center"/>
          </w:tcPr>
          <w:p>
            <w:pPr>
              <w:pStyle w:val="15"/>
            </w:pPr>
            <w:r>
              <w:t>111.81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570.57</w:t>
            </w:r>
          </w:p>
        </w:tc>
        <w:tc>
          <w:tcPr>
            <w:tcW w:w="2551" w:type="dxa"/>
            <w:vAlign w:val="center"/>
          </w:tcPr>
          <w:p>
            <w:pPr>
              <w:pStyle w:val="11"/>
            </w:pPr>
            <w:r>
              <w:t>570.57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163.72</w:t>
            </w:r>
          </w:p>
        </w:tc>
        <w:tc>
          <w:tcPr>
            <w:tcW w:w="2551" w:type="dxa"/>
            <w:vAlign w:val="center"/>
          </w:tcPr>
          <w:p>
            <w:pPr>
              <w:pStyle w:val="11"/>
            </w:pPr>
            <w:r>
              <w:t>163.72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158.82</w:t>
            </w:r>
          </w:p>
        </w:tc>
        <w:tc>
          <w:tcPr>
            <w:tcW w:w="2551" w:type="dxa"/>
            <w:vAlign w:val="center"/>
          </w:tcPr>
          <w:p>
            <w:pPr>
              <w:pStyle w:val="11"/>
            </w:pPr>
            <w:r>
              <w:t>158.82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93.08</w:t>
            </w:r>
          </w:p>
        </w:tc>
        <w:tc>
          <w:tcPr>
            <w:tcW w:w="2551" w:type="dxa"/>
            <w:vAlign w:val="center"/>
          </w:tcPr>
          <w:p>
            <w:pPr>
              <w:pStyle w:val="11"/>
            </w:pPr>
            <w:r>
              <w:t>93.08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24.27</w:t>
            </w:r>
          </w:p>
        </w:tc>
        <w:tc>
          <w:tcPr>
            <w:tcW w:w="2551" w:type="dxa"/>
            <w:vAlign w:val="center"/>
          </w:tcPr>
          <w:p>
            <w:pPr>
              <w:pStyle w:val="11"/>
            </w:pPr>
            <w:r>
              <w:t>24.27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1.52</w:t>
            </w:r>
          </w:p>
        </w:tc>
        <w:tc>
          <w:tcPr>
            <w:tcW w:w="2551" w:type="dxa"/>
            <w:vAlign w:val="center"/>
          </w:tcPr>
          <w:p>
            <w:pPr>
              <w:pStyle w:val="11"/>
            </w:pPr>
            <w:r>
              <w:t>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111.81</w:t>
            </w:r>
          </w:p>
        </w:tc>
        <w:tc>
          <w:tcPr>
            <w:tcW w:w="2551" w:type="dxa"/>
            <w:vAlign w:val="center"/>
          </w:tcPr>
          <w:p>
            <w:pPr>
              <w:pStyle w:val="11"/>
            </w:pPr>
          </w:p>
        </w:tc>
        <w:tc>
          <w:tcPr>
            <w:tcW w:w="2551" w:type="dxa"/>
            <w:vAlign w:val="center"/>
          </w:tcPr>
          <w:p>
            <w:pPr>
              <w:pStyle w:val="11"/>
            </w:pPr>
            <w:r>
              <w:t>111.81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10.90</w:t>
            </w:r>
          </w:p>
        </w:tc>
        <w:tc>
          <w:tcPr>
            <w:tcW w:w="2551" w:type="dxa"/>
            <w:vAlign w:val="center"/>
          </w:tcPr>
          <w:p>
            <w:pPr>
              <w:pStyle w:val="11"/>
            </w:pPr>
          </w:p>
        </w:tc>
        <w:tc>
          <w:tcPr>
            <w:tcW w:w="2551"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20.53</w:t>
            </w:r>
          </w:p>
        </w:tc>
        <w:tc>
          <w:tcPr>
            <w:tcW w:w="2551" w:type="dxa"/>
            <w:vAlign w:val="center"/>
          </w:tcPr>
          <w:p>
            <w:pPr>
              <w:pStyle w:val="11"/>
            </w:pPr>
          </w:p>
        </w:tc>
        <w:tc>
          <w:tcPr>
            <w:tcW w:w="2551" w:type="dxa"/>
            <w:vAlign w:val="center"/>
          </w:tcPr>
          <w:p>
            <w:pPr>
              <w:pStyle w:val="11"/>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5.18</w:t>
            </w:r>
          </w:p>
        </w:tc>
        <w:tc>
          <w:tcPr>
            <w:tcW w:w="2551" w:type="dxa"/>
            <w:vAlign w:val="center"/>
          </w:tcPr>
          <w:p>
            <w:pPr>
              <w:pStyle w:val="11"/>
            </w:pPr>
          </w:p>
        </w:tc>
        <w:tc>
          <w:tcPr>
            <w:tcW w:w="2551" w:type="dxa"/>
            <w:vAlign w:val="center"/>
          </w:tcPr>
          <w:p>
            <w:pPr>
              <w:pStyle w:val="11"/>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3.48</w:t>
            </w:r>
          </w:p>
        </w:tc>
        <w:tc>
          <w:tcPr>
            <w:tcW w:w="2551" w:type="dxa"/>
            <w:vAlign w:val="center"/>
          </w:tcPr>
          <w:p>
            <w:pPr>
              <w:pStyle w:val="11"/>
            </w:pPr>
          </w:p>
        </w:tc>
        <w:tc>
          <w:tcPr>
            <w:tcW w:w="2551"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9.02</w:t>
            </w:r>
          </w:p>
        </w:tc>
        <w:tc>
          <w:tcPr>
            <w:tcW w:w="2551" w:type="dxa"/>
            <w:vAlign w:val="center"/>
          </w:tcPr>
          <w:p>
            <w:pPr>
              <w:pStyle w:val="11"/>
            </w:pPr>
          </w:p>
        </w:tc>
        <w:tc>
          <w:tcPr>
            <w:tcW w:w="2551" w:type="dxa"/>
            <w:vAlign w:val="center"/>
          </w:tcPr>
          <w:p>
            <w:pPr>
              <w:pStyle w:val="11"/>
            </w:pPr>
            <w:r>
              <w:t>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25.96</w:t>
            </w:r>
          </w:p>
        </w:tc>
        <w:tc>
          <w:tcPr>
            <w:tcW w:w="2551" w:type="dxa"/>
            <w:vAlign w:val="center"/>
          </w:tcPr>
          <w:p>
            <w:pPr>
              <w:pStyle w:val="11"/>
            </w:pPr>
          </w:p>
        </w:tc>
        <w:tc>
          <w:tcPr>
            <w:tcW w:w="2551" w:type="dxa"/>
            <w:vAlign w:val="center"/>
          </w:tcPr>
          <w:p>
            <w:pPr>
              <w:pStyle w:val="11"/>
            </w:pPr>
            <w: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16.84</w:t>
            </w:r>
          </w:p>
        </w:tc>
        <w:tc>
          <w:tcPr>
            <w:tcW w:w="2551" w:type="dxa"/>
            <w:vAlign w:val="center"/>
          </w:tcPr>
          <w:p>
            <w:pPr>
              <w:pStyle w:val="11"/>
            </w:pPr>
          </w:p>
        </w:tc>
        <w:tc>
          <w:tcPr>
            <w:tcW w:w="2551" w:type="dxa"/>
            <w:vAlign w:val="center"/>
          </w:tcPr>
          <w:p>
            <w:pPr>
              <w:pStyle w:val="11"/>
            </w:pPr>
            <w:r>
              <w:t>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301.93</w:t>
            </w:r>
          </w:p>
        </w:tc>
        <w:tc>
          <w:tcPr>
            <w:tcW w:w="2551" w:type="dxa"/>
            <w:vAlign w:val="center"/>
          </w:tcPr>
          <w:p>
            <w:pPr>
              <w:pStyle w:val="11"/>
            </w:pPr>
            <w:r>
              <w:t>301.93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109.13</w:t>
            </w:r>
          </w:p>
        </w:tc>
        <w:tc>
          <w:tcPr>
            <w:tcW w:w="2551" w:type="dxa"/>
            <w:vAlign w:val="center"/>
          </w:tcPr>
          <w:p>
            <w:pPr>
              <w:pStyle w:val="11"/>
            </w:pPr>
            <w:r>
              <w:t>109.13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159.80</w:t>
            </w:r>
          </w:p>
        </w:tc>
        <w:tc>
          <w:tcPr>
            <w:tcW w:w="2551" w:type="dxa"/>
            <w:vAlign w:val="center"/>
          </w:tcPr>
          <w:p>
            <w:pPr>
              <w:pStyle w:val="11"/>
            </w:pPr>
            <w:r>
              <w:t>159.80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620001唐山市供销合作总社本级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14.10</w:t>
            </w:r>
          </w:p>
        </w:tc>
        <w:tc>
          <w:tcPr>
            <w:tcW w:w="2381" w:type="dxa"/>
            <w:vAlign w:val="center"/>
          </w:tcPr>
          <w:p>
            <w:pPr>
              <w:pStyle w:val="15"/>
            </w:pPr>
            <w:r>
              <w:t>14.10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14.10</w:t>
            </w:r>
          </w:p>
        </w:tc>
        <w:tc>
          <w:tcPr>
            <w:tcW w:w="2381" w:type="dxa"/>
            <w:vAlign w:val="center"/>
          </w:tcPr>
          <w:p>
            <w:pPr>
              <w:pStyle w:val="11"/>
            </w:pPr>
            <w:r>
              <w:t>14.10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13.52</w:t>
            </w:r>
          </w:p>
        </w:tc>
        <w:tc>
          <w:tcPr>
            <w:tcW w:w="2381" w:type="dxa"/>
            <w:vAlign w:val="center"/>
          </w:tcPr>
          <w:p>
            <w:pPr>
              <w:pStyle w:val="11"/>
            </w:pPr>
            <w:r>
              <w:t>13.52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13.52</w:t>
            </w:r>
          </w:p>
        </w:tc>
        <w:tc>
          <w:tcPr>
            <w:tcW w:w="2381" w:type="dxa"/>
            <w:vAlign w:val="center"/>
          </w:tcPr>
          <w:p>
            <w:pPr>
              <w:pStyle w:val="11"/>
            </w:pPr>
            <w:r>
              <w:t>13.52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0.58</w:t>
            </w:r>
          </w:p>
        </w:tc>
        <w:tc>
          <w:tcPr>
            <w:tcW w:w="2381" w:type="dxa"/>
            <w:vAlign w:val="center"/>
          </w:tcPr>
          <w:p>
            <w:pPr>
              <w:pStyle w:val="11"/>
            </w:pPr>
            <w:r>
              <w:t>0.58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唐山市供销合作总社本级2023年单位预算信息公开情况说明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按照《预算法》、《地方预决算公开操作规程》和《关于进一步推进预算公开工作的实施意见》规定，现将唐山市供销合作总社本级2023年单位预算公开如下：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1、宣传贯彻党中央、国务院、省委、省政府和市委、市政府有关“三农”的方针政策，制定全市供销合作社的发展战略和发展规划，指导全市供销合作社的改革与发展。</w:t>
      </w:r>
    </w:p>
    <w:p>
      <w:pPr>
        <w:pStyle w:val="25"/>
      </w:pPr>
      <w:r>
        <w:t>2、维护供销合作社章程赋予的合法权益，促进合作经济的发展。坚持供销合作社合作经济组织属性，发展生产、供销、信用“三位一体”综合合作，提高供销合作社农业社会化服务能力，助力乡村振兴。</w:t>
      </w:r>
    </w:p>
    <w:p>
      <w:pPr>
        <w:pStyle w:val="25"/>
      </w:pPr>
      <w:r>
        <w:t>3、按照市政府授权，对全市重要农业生产资料、农副产品和再生资源经营进行组织、协调、管理，承担政府委托的公益性服务和其他任务，指导所属企业做好棉花、化肥、农药、食盐等国家和市级重要物资的储备工作。</w:t>
      </w:r>
    </w:p>
    <w:p>
      <w:pPr>
        <w:pStyle w:val="25"/>
      </w:pPr>
      <w:r>
        <w:t>4、协调同有关部门的关系，指导全市供销合作社的业务活动。发展电子商务和开展农村合作金融服务，指导系统领办、创办农民专业合作社，更好地履行为农服务职责。指导推进全市农村产权交易市场建设和管理。</w:t>
      </w:r>
    </w:p>
    <w:p>
      <w:pPr>
        <w:pStyle w:val="25"/>
      </w:pPr>
      <w:r>
        <w:t>5、指导市供销合作总社所属企业改革，建立现代企业制度。管理运营本级社有资产，对市直企业行使出资人职能，依法享有所有者的资产收益、重大问题决策和选择管理者的权利。</w:t>
      </w:r>
    </w:p>
    <w:p>
      <w:pPr>
        <w:pStyle w:val="25"/>
      </w:pPr>
      <w:r>
        <w:t>6、完成市委、市政府和省供销社交办的其他任务。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唐山市供销合作总社本级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2023年部门年初预算安排1040.14万元，全部为一般公共预算资金。</w:t>
      </w:r>
    </w:p>
    <w:p>
      <w:pPr>
        <w:pStyle w:val="26"/>
      </w:pPr>
      <w:r>
        <w:t>一是人员经费共计872.5万元，较2022年增加290.05万元，主要原因是增加绩效奖金项目；二是正常公用经费共计111.81万元，较2022年增加6.07元，主要原因是人员增加，公务交通补贴和通讯补贴增加；三是专项公用共计5.83万元，较2022年增加2.1万元，主要原因是增加采购设备经费；部门申报专项项目1个，即农村产权流转交易中心项目，金额50万元，较2022年相比较无变化。用于保障唐山市农村产权流转交易中心日后正常工作开展，唐山市农村产权流转交易市场正常运转，确保为农服务平台健康、持久、有效发展，在振兴乡村、服务“三农”中发挥更大作用。</w:t>
      </w:r>
    </w:p>
    <w:p>
      <w:pPr>
        <w:spacing w:before="10" w:after="10"/>
        <w:ind w:firstLine="640"/>
        <w:outlineLvl w:val="5"/>
      </w:pPr>
      <w:r>
        <w:rPr>
          <w:rFonts w:ascii="黑体" w:hAnsi="黑体" w:eastAsia="黑体" w:cs="黑体"/>
          <w:color w:val="000000"/>
          <w:sz w:val="32"/>
        </w:rPr>
        <w:t>三、机关运行经费安排情况</w:t>
      </w:r>
    </w:p>
    <w:p>
      <w:pPr>
        <w:pStyle w:val="27"/>
      </w:pPr>
      <w:r>
        <w:t>部门运行经费共计安排111.81万元，主要用于保证机关正常运转的办公及邮电费、差旅费及一般设备购置费、办公用房水电费、办公用房取暖费、日常维修费、公务车运行维护费等支出。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2023年，我部门财政拨款“三公”经费预算安排</w:t>
      </w:r>
      <w:r>
        <w:rPr>
          <w:rFonts w:hint="eastAsia"/>
          <w:lang w:val="en-US" w:eastAsia="zh-CN"/>
        </w:rPr>
        <w:t>14.10</w:t>
      </w:r>
      <w:r>
        <w:t>万元，其中：因公出国（境）费0万元，原因为无国公出国（境）计划</w:t>
      </w:r>
      <w:r>
        <w:rPr>
          <w:rFonts w:hint="eastAsia"/>
          <w:lang w:eastAsia="zh-CN"/>
        </w:rPr>
        <w:t>，</w:t>
      </w:r>
      <w:r>
        <w:t>与2022年相比较无变化；公务用车购置及运维费</w:t>
      </w:r>
      <w:r>
        <w:rPr>
          <w:rFonts w:hint="eastAsia"/>
          <w:lang w:val="en-US" w:eastAsia="zh-CN"/>
        </w:rPr>
        <w:t>13.5</w:t>
      </w:r>
      <w:r>
        <w:t>2万元（其中：公务用车运行维护费</w:t>
      </w:r>
      <w:r>
        <w:rPr>
          <w:rFonts w:hint="eastAsia"/>
          <w:lang w:val="en-US" w:eastAsia="zh-CN"/>
        </w:rPr>
        <w:t>13.52</w:t>
      </w:r>
      <w:r>
        <w:t>万元，公务用车购置费0万元</w:t>
      </w:r>
      <w:r>
        <w:rPr>
          <w:rFonts w:hint="eastAsia"/>
          <w:lang w:eastAsia="zh-CN"/>
        </w:rPr>
        <w:t>，</w:t>
      </w:r>
      <w:r>
        <w:t>原因为无公务用车购置计划),比2022年</w:t>
      </w:r>
      <w:r>
        <w:rPr>
          <w:rFonts w:hint="eastAsia"/>
          <w:lang w:eastAsia="zh-CN"/>
        </w:rPr>
        <w:t>增加</w:t>
      </w:r>
      <w:r>
        <w:rPr>
          <w:rFonts w:hint="eastAsia"/>
          <w:lang w:val="en-US" w:eastAsia="zh-CN"/>
        </w:rPr>
        <w:t>4.5万元，原因是2022年预算</w:t>
      </w:r>
      <w:bookmarkStart w:id="1" w:name="_GoBack"/>
      <w:bookmarkEnd w:id="1"/>
      <w:r>
        <w:rPr>
          <w:rFonts w:hint="eastAsia"/>
          <w:lang w:val="en-US" w:eastAsia="zh-CN"/>
        </w:rPr>
        <w:t>不规范，2023年正确列支预算经济分类，实际金额并未增加</w:t>
      </w:r>
      <w:r>
        <w:t>；公务接待费0.58万元，与2022年相比较无变化</w:t>
      </w:r>
      <w:r>
        <w:rPr>
          <w:rFonts w:hint="eastAsia"/>
          <w:lang w:eastAsia="zh-CN"/>
        </w:rPr>
        <w:t>，</w:t>
      </w:r>
      <w:r>
        <w:t>原因为认真落实党政机关厉行节约、反对浪费条例规定，从严控制支出。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1、购置办公家具绩效目标表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2835" w:type="dxa"/>
            <w:vAlign w:val="center"/>
          </w:tcPr>
          <w:p>
            <w:pPr>
              <w:pStyle w:val="12"/>
            </w:pPr>
            <w:r>
              <w:t>设备和专用材料购置完成率</w:t>
            </w:r>
          </w:p>
        </w:tc>
        <w:tc>
          <w:tcPr>
            <w:tcW w:w="2551" w:type="dxa"/>
            <w:vAlign w:val="center"/>
          </w:tcPr>
          <w:p>
            <w:pPr>
              <w:pStyle w:val="12"/>
            </w:pPr>
            <w:r>
              <w:t>100%</w:t>
            </w:r>
          </w:p>
        </w:tc>
        <w:tc>
          <w:tcPr>
            <w:tcW w:w="2268"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验收合格率=验收合格的设备数量/当年购置设备数量*100%</w:t>
            </w:r>
          </w:p>
        </w:tc>
        <w:tc>
          <w:tcPr>
            <w:tcW w:w="2551" w:type="dxa"/>
            <w:vAlign w:val="center"/>
          </w:tcPr>
          <w:p>
            <w:pPr>
              <w:pStyle w:val="12"/>
            </w:pPr>
            <w:r>
              <w:t>100%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2835" w:type="dxa"/>
            <w:vAlign w:val="center"/>
          </w:tcPr>
          <w:p>
            <w:pPr>
              <w:pStyle w:val="12"/>
            </w:pPr>
            <w:r>
              <w:t>购置完成时限</w:t>
            </w:r>
          </w:p>
        </w:tc>
        <w:tc>
          <w:tcPr>
            <w:tcW w:w="2551" w:type="dxa"/>
            <w:vAlign w:val="center"/>
          </w:tcPr>
          <w:p>
            <w:pPr>
              <w:pStyle w:val="12"/>
            </w:pPr>
            <w:r>
              <w:t>2023年12月31日</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2835" w:type="dxa"/>
            <w:vAlign w:val="center"/>
          </w:tcPr>
          <w:p>
            <w:pPr>
              <w:pStyle w:val="12"/>
            </w:pPr>
            <w:r>
              <w:t>购置对公共服务水平的提升情况</w:t>
            </w:r>
          </w:p>
        </w:tc>
        <w:tc>
          <w:tcPr>
            <w:tcW w:w="2551" w:type="dxa"/>
            <w:vAlign w:val="center"/>
          </w:tcPr>
          <w:p>
            <w:pPr>
              <w:pStyle w:val="12"/>
            </w:pPr>
            <w:r>
              <w:t>有所提升</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2、购置设备绩效目标表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2835" w:type="dxa"/>
            <w:vAlign w:val="center"/>
          </w:tcPr>
          <w:p>
            <w:pPr>
              <w:pStyle w:val="12"/>
            </w:pPr>
            <w:r>
              <w:t>设备和专用材料购置完成率</w:t>
            </w:r>
          </w:p>
        </w:tc>
        <w:tc>
          <w:tcPr>
            <w:tcW w:w="2551" w:type="dxa"/>
            <w:vAlign w:val="center"/>
          </w:tcPr>
          <w:p>
            <w:pPr>
              <w:pStyle w:val="12"/>
            </w:pPr>
            <w:r>
              <w:t>100%</w:t>
            </w:r>
          </w:p>
        </w:tc>
        <w:tc>
          <w:tcPr>
            <w:tcW w:w="2268"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验收合格率=验收合格的设备数量/当年购置设备数量*100%</w:t>
            </w:r>
          </w:p>
        </w:tc>
        <w:tc>
          <w:tcPr>
            <w:tcW w:w="2551" w:type="dxa"/>
            <w:vAlign w:val="center"/>
          </w:tcPr>
          <w:p>
            <w:pPr>
              <w:pStyle w:val="12"/>
            </w:pPr>
            <w:r>
              <w:t>100%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2835" w:type="dxa"/>
            <w:vAlign w:val="center"/>
          </w:tcPr>
          <w:p>
            <w:pPr>
              <w:pStyle w:val="12"/>
            </w:pPr>
            <w:r>
              <w:t>购置完成时限</w:t>
            </w:r>
          </w:p>
        </w:tc>
        <w:tc>
          <w:tcPr>
            <w:tcW w:w="2551" w:type="dxa"/>
            <w:vAlign w:val="center"/>
          </w:tcPr>
          <w:p>
            <w:pPr>
              <w:pStyle w:val="12"/>
            </w:pPr>
            <w:r>
              <w:t>2023年12月31日</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2835" w:type="dxa"/>
            <w:vAlign w:val="center"/>
          </w:tcPr>
          <w:p>
            <w:pPr>
              <w:pStyle w:val="12"/>
            </w:pPr>
            <w:r>
              <w:t>购置对公共服务水平的提升情况</w:t>
            </w:r>
          </w:p>
        </w:tc>
        <w:tc>
          <w:tcPr>
            <w:tcW w:w="2551" w:type="dxa"/>
            <w:vAlign w:val="center"/>
          </w:tcPr>
          <w:p>
            <w:pPr>
              <w:pStyle w:val="12"/>
            </w:pPr>
            <w:r>
              <w:t>有所提升</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3、重点工作及系统工作会绩效目标表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2835" w:type="dxa"/>
            <w:vAlign w:val="center"/>
          </w:tcPr>
          <w:p>
            <w:pPr>
              <w:pStyle w:val="12"/>
            </w:pPr>
            <w:r>
              <w:t>会议出勤率=实际出勤学员数量/参加会议人员数量*100%</w:t>
            </w:r>
          </w:p>
        </w:tc>
        <w:tc>
          <w:tcPr>
            <w:tcW w:w="2551" w:type="dxa"/>
            <w:vAlign w:val="center"/>
          </w:tcPr>
          <w:p>
            <w:pPr>
              <w:pStyle w:val="12"/>
            </w:pPr>
            <w:r>
              <w:t>100%</w:t>
            </w:r>
          </w:p>
        </w:tc>
        <w:tc>
          <w:tcPr>
            <w:tcW w:w="2268"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2835" w:type="dxa"/>
            <w:vAlign w:val="center"/>
          </w:tcPr>
          <w:p>
            <w:pPr>
              <w:pStyle w:val="12"/>
            </w:pPr>
            <w:r>
              <w:t>会议合格率（%）</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2023年12月31日</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2835" w:type="dxa"/>
            <w:vAlign w:val="center"/>
          </w:tcPr>
          <w:p>
            <w:pPr>
              <w:pStyle w:val="12"/>
            </w:pPr>
            <w:r>
              <w:t>会议内容有效落实</w:t>
            </w:r>
          </w:p>
        </w:tc>
        <w:tc>
          <w:tcPr>
            <w:tcW w:w="2551" w:type="dxa"/>
            <w:vAlign w:val="center"/>
          </w:tcPr>
          <w:p>
            <w:pPr>
              <w:pStyle w:val="12"/>
            </w:pPr>
            <w:r>
              <w:t>有效落实</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4、农村产权流转交易中心运营经费绩效目标表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发布农村产权交易信息和引导各类农村产权进场规范交易</w:t>
            </w:r>
          </w:p>
        </w:tc>
        <w:tc>
          <w:tcPr>
            <w:tcW w:w="2835" w:type="dxa"/>
            <w:vAlign w:val="center"/>
          </w:tcPr>
          <w:p>
            <w:pPr>
              <w:pStyle w:val="12"/>
            </w:pPr>
            <w:r>
              <w:t>为农民合作社、龙头企业、家庭农场、种养大户等新型经营主体和农民提供农村各类产权流转信息和交易鉴证等综合服务</w:t>
            </w:r>
          </w:p>
        </w:tc>
        <w:tc>
          <w:tcPr>
            <w:tcW w:w="2551" w:type="dxa"/>
            <w:vAlign w:val="center"/>
          </w:tcPr>
          <w:p>
            <w:pPr>
              <w:pStyle w:val="12"/>
              <w:rPr>
                <w:rFonts w:ascii="方正书宋_GBK" w:hAnsi="方正书宋_GBK" w:eastAsia="方正书宋_GBK" w:cs="方正书宋_GBK"/>
                <w:sz w:val="21"/>
                <w:szCs w:val="24"/>
                <w:lang w:val="en-US" w:eastAsia="uk-UA" w:bidi="ar-SA"/>
              </w:rPr>
            </w:pPr>
            <w:r>
              <w:t>累计交易额100亿元</w:t>
            </w:r>
          </w:p>
        </w:tc>
        <w:tc>
          <w:tcPr>
            <w:tcW w:w="2268"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推动全市农村产权流转交易发展</w:t>
            </w:r>
          </w:p>
        </w:tc>
        <w:tc>
          <w:tcPr>
            <w:tcW w:w="2835" w:type="dxa"/>
            <w:vAlign w:val="center"/>
          </w:tcPr>
          <w:p>
            <w:pPr>
              <w:pStyle w:val="12"/>
            </w:pPr>
            <w:r>
              <w:t>健康、有效</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宋体" w:hAnsi="宋体" w:eastAsia="宋体" w:cs="宋体"/>
                <w:lang w:eastAsia="zh-CN"/>
              </w:rPr>
              <w:t>健康有效</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rPr>
                <w:rFonts w:ascii="方正书宋_GBK" w:hAnsi="方正书宋_GBK" w:eastAsia="方正书宋_GBK" w:cs="方正书宋_GBK"/>
                <w:sz w:val="21"/>
                <w:szCs w:val="24"/>
                <w:lang w:val="en-US" w:eastAsia="uk-UA" w:bidi="ar-SA"/>
              </w:rPr>
            </w:pPr>
            <w:r>
              <w:t>2023年12月</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市级财政投入</w:t>
            </w:r>
          </w:p>
        </w:tc>
        <w:tc>
          <w:tcPr>
            <w:tcW w:w="2835" w:type="dxa"/>
            <w:vAlign w:val="center"/>
          </w:tcPr>
          <w:p>
            <w:pPr>
              <w:pStyle w:val="12"/>
            </w:pPr>
            <w:r>
              <w:t>财政拨款</w:t>
            </w:r>
          </w:p>
        </w:tc>
        <w:tc>
          <w:tcPr>
            <w:tcW w:w="2551" w:type="dxa"/>
            <w:vAlign w:val="center"/>
          </w:tcPr>
          <w:p>
            <w:pPr>
              <w:pStyle w:val="12"/>
              <w:rPr>
                <w:rFonts w:ascii="方正书宋_GBK" w:hAnsi="方正书宋_GBK" w:eastAsia="方正书宋_GBK" w:cs="方正书宋_GBK"/>
                <w:sz w:val="21"/>
                <w:szCs w:val="24"/>
                <w:lang w:val="en-US" w:eastAsia="uk-UA" w:bidi="ar-SA"/>
              </w:rPr>
            </w:pPr>
            <w:r>
              <w:t>50万元</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r>
              <w:t>效益指标</w:t>
            </w:r>
          </w:p>
        </w:tc>
        <w:tc>
          <w:tcPr>
            <w:tcW w:w="2268" w:type="dxa"/>
            <w:vAlign w:val="center"/>
          </w:tcPr>
          <w:p>
            <w:pPr>
              <w:pStyle w:val="12"/>
            </w:pPr>
            <w:r>
              <w:t>社会效益指标</w:t>
            </w:r>
          </w:p>
        </w:tc>
        <w:tc>
          <w:tcPr>
            <w:tcW w:w="2835" w:type="dxa"/>
            <w:vAlign w:val="center"/>
          </w:tcPr>
          <w:p>
            <w:pPr>
              <w:pStyle w:val="12"/>
            </w:pPr>
            <w:r>
              <w:t>推动全市农村产权交易市场</w:t>
            </w:r>
          </w:p>
        </w:tc>
        <w:tc>
          <w:tcPr>
            <w:tcW w:w="2835" w:type="dxa"/>
            <w:vAlign w:val="center"/>
          </w:tcPr>
          <w:p>
            <w:pPr>
              <w:pStyle w:val="12"/>
            </w:pPr>
            <w:r>
              <w:t>全市农村产权交易中心能有效盘活农村闲置资产，增加农民财产收益，规范农村产权流转交易行为，提升农村治理能力，促进农村经济发展。</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宋体" w:hAnsi="宋体" w:eastAsia="宋体" w:cs="宋体"/>
                <w:lang w:eastAsia="zh-CN"/>
              </w:rPr>
              <w:t>促进农村经济发展</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农民满意度</w:t>
            </w:r>
          </w:p>
        </w:tc>
        <w:tc>
          <w:tcPr>
            <w:tcW w:w="2551" w:type="dxa"/>
            <w:vAlign w:val="center"/>
          </w:tcPr>
          <w:p>
            <w:pPr>
              <w:pStyle w:val="12"/>
            </w:pPr>
            <w:r>
              <w:t>100满意度100%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2023年，唐山市供销合作总社本级安排政府采购预算13.01万元。具体内容见下表。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620001唐山市供销合作总社本级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13.01</w:t>
            </w:r>
          </w:p>
        </w:tc>
        <w:tc>
          <w:tcPr>
            <w:tcW w:w="964" w:type="dxa"/>
            <w:vAlign w:val="center"/>
          </w:tcPr>
          <w:p>
            <w:pPr>
              <w:pStyle w:val="15"/>
            </w:pPr>
            <w:r>
              <w:t>13.01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唐山市供销合作总社本级小计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13.01</w:t>
            </w:r>
          </w:p>
        </w:tc>
        <w:tc>
          <w:tcPr>
            <w:tcW w:w="964" w:type="dxa"/>
            <w:vAlign w:val="center"/>
          </w:tcPr>
          <w:p>
            <w:pPr>
              <w:pStyle w:val="15"/>
            </w:pPr>
            <w:r>
              <w:t>13.01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盒</w:t>
            </w:r>
          </w:p>
        </w:tc>
        <w:tc>
          <w:tcPr>
            <w:tcW w:w="850" w:type="dxa"/>
            <w:vAlign w:val="center"/>
          </w:tcPr>
          <w:p>
            <w:pPr>
              <w:pStyle w:val="11"/>
            </w:pPr>
            <w:r>
              <w:t>75</w:t>
            </w:r>
          </w:p>
        </w:tc>
        <w:tc>
          <w:tcPr>
            <w:tcW w:w="850" w:type="dxa"/>
            <w:vAlign w:val="center"/>
          </w:tcPr>
          <w:p>
            <w:pPr>
              <w:pStyle w:val="11"/>
            </w:pPr>
            <w:r>
              <w:t>0.02</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.3125</w:t>
            </w:r>
          </w:p>
        </w:tc>
        <w:tc>
          <w:tcPr>
            <w:tcW w:w="850" w:type="dxa"/>
            <w:vAlign w:val="center"/>
          </w:tcPr>
          <w:p>
            <w:pPr>
              <w:pStyle w:val="11"/>
            </w:pPr>
            <w:r>
              <w:t>8.00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其他沙发类</w:t>
            </w:r>
          </w:p>
        </w:tc>
        <w:tc>
          <w:tcPr>
            <w:tcW w:w="1134" w:type="dxa"/>
            <w:vAlign w:val="center"/>
          </w:tcPr>
          <w:p>
            <w:pPr>
              <w:pStyle w:val="12"/>
            </w:pPr>
            <w:r>
              <w:t>A05010499</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0.22</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购置设备</w:t>
            </w:r>
          </w:p>
        </w:tc>
        <w:tc>
          <w:tcPr>
            <w:tcW w:w="964" w:type="dxa"/>
            <w:vAlign w:val="center"/>
          </w:tcPr>
          <w:p>
            <w:pPr>
              <w:pStyle w:val="11"/>
            </w:pPr>
            <w:r>
              <w:t>2.00</w:t>
            </w:r>
          </w:p>
        </w:tc>
        <w:tc>
          <w:tcPr>
            <w:tcW w:w="1134" w:type="dxa"/>
            <w:vAlign w:val="center"/>
          </w:tcPr>
          <w:p>
            <w:pPr>
              <w:pStyle w:val="12"/>
            </w:pPr>
            <w:r>
              <w:t>机柜</w:t>
            </w:r>
          </w:p>
        </w:tc>
        <w:tc>
          <w:tcPr>
            <w:tcW w:w="1134" w:type="dxa"/>
            <w:vAlign w:val="center"/>
          </w:tcPr>
          <w:p>
            <w:pPr>
              <w:pStyle w:val="12"/>
            </w:pPr>
            <w:r>
              <w:t>A02010601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唐山市供销合作总社本级上年末固定资产金额为155.62万元（详见下表）。本年度拟购置固定资产总额为</w:t>
      </w:r>
      <w:r>
        <w:rPr>
          <w:rFonts w:hint="eastAsia" w:eastAsia="方正仿宋_GBK"/>
          <w:color w:val="000000"/>
          <w:sz w:val="28"/>
          <w:lang w:val="en-US" w:eastAsia="zh-CN"/>
        </w:rPr>
        <w:t>4.01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620001唐山市供销合作总社本级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136.22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RjY2MxYjAxNWQzNjNiN2I3NTc2YzUwYzFmOTNhOTgifQ=="/>
  </w:docVars>
  <w:rsids>
    <w:rsidRoot w:val="00516255"/>
    <w:rsid w:val="00516255"/>
    <w:rsid w:val="0073451F"/>
    <w:rsid w:val="00E33F9C"/>
    <w:rsid w:val="0EE31204"/>
    <w:rsid w:val="31820DE0"/>
    <w:rsid w:val="3A932222"/>
    <w:rsid w:val="444462ED"/>
    <w:rsid w:val="476B3535"/>
    <w:rsid w:val="5D221EAA"/>
    <w:rsid w:val="76D8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56</Pages>
  <Words>14680</Words>
  <Characters>18676</Characters>
  <Lines>176</Lines>
  <Paragraphs>49</Paragraphs>
  <TotalTime>22</TotalTime>
  <ScaleCrop>false</ScaleCrop>
  <LinksUpToDate>false</LinksUpToDate>
  <CharactersWithSpaces>18993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2023-03-07T08:35:00Z</dcterms:created>
  <dc:creator>Administrator</dc:creator>
  <cp:lastModifiedBy>guo、丹皮</cp:lastModifiedBy>
  <dcterms:modified xsi:type="dcterms:W3CDTF">2023-08-03T08:29:11Z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304E24E4430643B3BC196503D9340B48</vt:lpwstr>
  </property>
</Properties>
</file>