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eastAsia="宋体"/>
          <w:lang w:val="en-US" w:eastAsia="zh-CN"/>
        </w:rPr>
      </w:pPr>
      <w:r>
        <w:rPr>
          <w:rFonts w:hint="eastAsia" w:eastAsia="宋体"/>
          <w:lang w:val="en-US" w:eastAsia="zh-CN"/>
        </w:rPr>
        <w:t xml:space="preserve">       </w:t>
      </w:r>
    </w:p>
    <w:p>
      <w:pPr>
        <w:jc w:val="center"/>
        <w:rPr>
          <w:rFonts w:hint="eastAsia" w:eastAsia="宋体"/>
          <w:lang w:val="en-US" w:eastAsia="zh-CN"/>
        </w:rPr>
      </w:pPr>
    </w:p>
    <w:p>
      <w:pPr>
        <w:jc w:val="center"/>
        <w:rPr>
          <w:rFonts w:hint="eastAsia" w:eastAsia="宋体"/>
          <w:lang w:val="en-US" w:eastAsia="zh-CN"/>
        </w:rPr>
      </w:pPr>
    </w:p>
    <w:p>
      <w:pPr>
        <w:jc w:val="center"/>
        <w:rPr>
          <w:rFonts w:hint="eastAsia" w:eastAsia="宋体"/>
          <w:lang w:val="en-US" w:eastAsia="zh-CN"/>
        </w:rPr>
      </w:pPr>
    </w:p>
    <w:p>
      <w:pPr>
        <w:jc w:val="center"/>
        <w:outlineLvl w:val="1"/>
        <w:rPr>
          <w:rFonts w:ascii="方正小标宋_GBK" w:hAnsi="方正小标宋_GBK" w:eastAsia="方正小标宋_GBK" w:cs="方正小标宋_GBK"/>
          <w:color w:val="000000"/>
          <w:sz w:val="36"/>
        </w:rPr>
        <w:sectPr>
          <w:headerReference r:id="rId3" w:type="default"/>
          <w:footerReference r:id="rId5" w:type="default"/>
          <w:headerReference r:id="rId4" w:type="even"/>
          <w:footerReference r:id="rId6" w:type="even"/>
          <w:pgSz w:w="16840" w:h="11900" w:orient="landscape"/>
          <w:pgMar w:top="1361" w:right="1020" w:bottom="1134" w:left="1020" w:header="720" w:footer="720" w:gutter="0"/>
          <w:cols w:space="720" w:num="1"/>
        </w:sectPr>
      </w:pPr>
      <w:bookmarkStart w:id="0" w:name="_Toc_2_2_0000000001"/>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620唐山市供销合作总社</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1040.14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833.81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1040.14</w:t>
            </w:r>
          </w:p>
        </w:tc>
        <w:tc>
          <w:tcPr>
            <w:tcW w:w="4535" w:type="dxa"/>
            <w:vAlign w:val="center"/>
          </w:tcPr>
          <w:p>
            <w:pPr>
              <w:pStyle w:val="14"/>
            </w:pPr>
            <w:r>
              <w:t>本年支出合计</w:t>
            </w:r>
          </w:p>
        </w:tc>
        <w:tc>
          <w:tcPr>
            <w:tcW w:w="2126" w:type="dxa"/>
            <w:vAlign w:val="center"/>
          </w:tcPr>
          <w:p>
            <w:pPr>
              <w:pStyle w:val="15"/>
            </w:pPr>
            <w:r>
              <w:t>1040.14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1040.14</w:t>
            </w:r>
          </w:p>
        </w:tc>
        <w:tc>
          <w:tcPr>
            <w:tcW w:w="4535" w:type="dxa"/>
            <w:vAlign w:val="center"/>
          </w:tcPr>
          <w:p>
            <w:pPr>
              <w:pStyle w:val="14"/>
            </w:pPr>
            <w:r>
              <w:t>支出总计</w:t>
            </w:r>
          </w:p>
        </w:tc>
        <w:tc>
          <w:tcPr>
            <w:tcW w:w="2126" w:type="dxa"/>
            <w:vAlign w:val="center"/>
          </w:tcPr>
          <w:p>
            <w:pPr>
              <w:pStyle w:val="15"/>
            </w:pPr>
            <w:r>
              <w:t>1040.14</w:t>
            </w:r>
          </w:p>
        </w:tc>
      </w:tr>
    </w:tbl>
    <w:p>
      <w:pPr>
        <w:sectPr>
          <w:footerReference r:id="rId7" w:type="default"/>
          <w:footerReference r:id="rId8" w:type="even"/>
          <w:pgSz w:w="16840" w:h="11900" w:orient="landscape"/>
          <w:pgMar w:top="1361" w:right="1020" w:bottom="1134" w:left="1020" w:header="720" w:footer="720" w:gutter="0"/>
          <w:pgNumType w:start="2"/>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620唐山市供销合作总社</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1040.14</w:t>
            </w:r>
          </w:p>
        </w:tc>
        <w:tc>
          <w:tcPr>
            <w:tcW w:w="1134" w:type="dxa"/>
            <w:vAlign w:val="center"/>
          </w:tcPr>
          <w:p>
            <w:pPr>
              <w:pStyle w:val="15"/>
            </w:pPr>
            <w:r>
              <w:t>1040.14</w:t>
            </w:r>
          </w:p>
        </w:tc>
        <w:tc>
          <w:tcPr>
            <w:tcW w:w="1134" w:type="dxa"/>
            <w:vAlign w:val="center"/>
          </w:tcPr>
          <w:p>
            <w:pPr>
              <w:pStyle w:val="15"/>
            </w:pPr>
            <w:r>
              <w:t>1040.14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r>
              <w:t>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61.24</w:t>
            </w:r>
          </w:p>
        </w:tc>
        <w:tc>
          <w:tcPr>
            <w:tcW w:w="1134" w:type="dxa"/>
            <w:vAlign w:val="center"/>
          </w:tcPr>
          <w:p>
            <w:pPr>
              <w:pStyle w:val="11"/>
            </w:pPr>
            <w:r>
              <w:t>61.24</w:t>
            </w:r>
          </w:p>
        </w:tc>
        <w:tc>
          <w:tcPr>
            <w:tcW w:w="1134" w:type="dxa"/>
            <w:vAlign w:val="center"/>
          </w:tcPr>
          <w:p>
            <w:pPr>
              <w:pStyle w:val="11"/>
            </w:pPr>
            <w:r>
              <w:t>61.24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61.24</w:t>
            </w:r>
          </w:p>
        </w:tc>
        <w:tc>
          <w:tcPr>
            <w:tcW w:w="1134" w:type="dxa"/>
            <w:vAlign w:val="center"/>
          </w:tcPr>
          <w:p>
            <w:pPr>
              <w:pStyle w:val="11"/>
            </w:pPr>
            <w:r>
              <w:t>61.24</w:t>
            </w:r>
          </w:p>
        </w:tc>
        <w:tc>
          <w:tcPr>
            <w:tcW w:w="1134" w:type="dxa"/>
            <w:vAlign w:val="center"/>
          </w:tcPr>
          <w:p>
            <w:pPr>
              <w:pStyle w:val="11"/>
            </w:pPr>
            <w:r>
              <w:t>61.24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61.24</w:t>
            </w:r>
          </w:p>
        </w:tc>
        <w:tc>
          <w:tcPr>
            <w:tcW w:w="1134" w:type="dxa"/>
            <w:vAlign w:val="center"/>
          </w:tcPr>
          <w:p>
            <w:pPr>
              <w:pStyle w:val="11"/>
            </w:pPr>
            <w:r>
              <w:t>61.24</w:t>
            </w:r>
          </w:p>
        </w:tc>
        <w:tc>
          <w:tcPr>
            <w:tcW w:w="1134" w:type="dxa"/>
            <w:vAlign w:val="center"/>
          </w:tcPr>
          <w:p>
            <w:pPr>
              <w:pStyle w:val="11"/>
            </w:pPr>
            <w:r>
              <w:t>61.24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46.26</w:t>
            </w:r>
          </w:p>
        </w:tc>
        <w:tc>
          <w:tcPr>
            <w:tcW w:w="1134" w:type="dxa"/>
            <w:vAlign w:val="center"/>
          </w:tcPr>
          <w:p>
            <w:pPr>
              <w:pStyle w:val="11"/>
            </w:pPr>
            <w:r>
              <w:t>46.26</w:t>
            </w:r>
          </w:p>
        </w:tc>
        <w:tc>
          <w:tcPr>
            <w:tcW w:w="1134" w:type="dxa"/>
            <w:vAlign w:val="center"/>
          </w:tcPr>
          <w:p>
            <w:pPr>
              <w:pStyle w:val="11"/>
            </w:pPr>
            <w:r>
              <w:t>46.26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46.26</w:t>
            </w:r>
          </w:p>
        </w:tc>
        <w:tc>
          <w:tcPr>
            <w:tcW w:w="1134" w:type="dxa"/>
            <w:vAlign w:val="center"/>
          </w:tcPr>
          <w:p>
            <w:pPr>
              <w:pStyle w:val="11"/>
            </w:pPr>
            <w:r>
              <w:t>46.26</w:t>
            </w:r>
          </w:p>
        </w:tc>
        <w:tc>
          <w:tcPr>
            <w:tcW w:w="1134" w:type="dxa"/>
            <w:vAlign w:val="center"/>
          </w:tcPr>
          <w:p>
            <w:pPr>
              <w:pStyle w:val="11"/>
            </w:pPr>
            <w:r>
              <w:t>46.26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21.99</w:t>
            </w:r>
          </w:p>
        </w:tc>
        <w:tc>
          <w:tcPr>
            <w:tcW w:w="1134" w:type="dxa"/>
            <w:vAlign w:val="center"/>
          </w:tcPr>
          <w:p>
            <w:pPr>
              <w:pStyle w:val="11"/>
            </w:pPr>
            <w:r>
              <w:t>21.99</w:t>
            </w:r>
          </w:p>
        </w:tc>
        <w:tc>
          <w:tcPr>
            <w:tcW w:w="1134" w:type="dxa"/>
            <w:vAlign w:val="center"/>
          </w:tcPr>
          <w:p>
            <w:pPr>
              <w:pStyle w:val="11"/>
            </w:pPr>
            <w:r>
              <w:t>21.99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24.27</w:t>
            </w:r>
          </w:p>
        </w:tc>
        <w:tc>
          <w:tcPr>
            <w:tcW w:w="1134" w:type="dxa"/>
            <w:vAlign w:val="center"/>
          </w:tcPr>
          <w:p>
            <w:pPr>
              <w:pStyle w:val="11"/>
            </w:pPr>
            <w:r>
              <w:t>24.27</w:t>
            </w:r>
          </w:p>
        </w:tc>
        <w:tc>
          <w:tcPr>
            <w:tcW w:w="1134" w:type="dxa"/>
            <w:vAlign w:val="center"/>
          </w:tcPr>
          <w:p>
            <w:pPr>
              <w:pStyle w:val="11"/>
            </w:pPr>
            <w:r>
              <w:t>24.27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2130799</w:t>
            </w:r>
          </w:p>
        </w:tc>
        <w:tc>
          <w:tcPr>
            <w:tcW w:w="1559" w:type="dxa"/>
            <w:vAlign w:val="center"/>
          </w:tcPr>
          <w:p>
            <w:pPr>
              <w:pStyle w:val="12"/>
            </w:pPr>
            <w:r>
              <w:t>其他农村综合改革支出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833.81</w:t>
            </w:r>
          </w:p>
        </w:tc>
        <w:tc>
          <w:tcPr>
            <w:tcW w:w="1134" w:type="dxa"/>
            <w:vAlign w:val="center"/>
          </w:tcPr>
          <w:p>
            <w:pPr>
              <w:pStyle w:val="11"/>
            </w:pPr>
            <w:r>
              <w:t>833.81</w:t>
            </w:r>
          </w:p>
        </w:tc>
        <w:tc>
          <w:tcPr>
            <w:tcW w:w="1134" w:type="dxa"/>
            <w:vAlign w:val="center"/>
          </w:tcPr>
          <w:p>
            <w:pPr>
              <w:pStyle w:val="11"/>
            </w:pPr>
            <w:r>
              <w:t>833.81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833.81</w:t>
            </w:r>
          </w:p>
        </w:tc>
        <w:tc>
          <w:tcPr>
            <w:tcW w:w="1134" w:type="dxa"/>
            <w:vAlign w:val="center"/>
          </w:tcPr>
          <w:p>
            <w:pPr>
              <w:pStyle w:val="11"/>
            </w:pPr>
            <w:r>
              <w:t>833.81</w:t>
            </w:r>
          </w:p>
        </w:tc>
        <w:tc>
          <w:tcPr>
            <w:tcW w:w="1134" w:type="dxa"/>
            <w:vAlign w:val="center"/>
          </w:tcPr>
          <w:p>
            <w:pPr>
              <w:pStyle w:val="11"/>
            </w:pPr>
            <w:r>
              <w:t>833.81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2160201</w:t>
            </w:r>
          </w:p>
        </w:tc>
        <w:tc>
          <w:tcPr>
            <w:tcW w:w="1559" w:type="dxa"/>
            <w:vAlign w:val="center"/>
          </w:tcPr>
          <w:p>
            <w:pPr>
              <w:pStyle w:val="12"/>
            </w:pPr>
            <w:r>
              <w:t>行政运行</w:t>
            </w:r>
          </w:p>
        </w:tc>
        <w:tc>
          <w:tcPr>
            <w:tcW w:w="1134" w:type="dxa"/>
            <w:vAlign w:val="center"/>
          </w:tcPr>
          <w:p>
            <w:pPr>
              <w:pStyle w:val="11"/>
            </w:pPr>
            <w:r>
              <w:t>833.81</w:t>
            </w:r>
          </w:p>
        </w:tc>
        <w:tc>
          <w:tcPr>
            <w:tcW w:w="1134" w:type="dxa"/>
            <w:vAlign w:val="center"/>
          </w:tcPr>
          <w:p>
            <w:pPr>
              <w:pStyle w:val="11"/>
            </w:pPr>
            <w:r>
              <w:t>833.81</w:t>
            </w:r>
          </w:p>
        </w:tc>
        <w:tc>
          <w:tcPr>
            <w:tcW w:w="1134" w:type="dxa"/>
            <w:vAlign w:val="center"/>
          </w:tcPr>
          <w:p>
            <w:pPr>
              <w:pStyle w:val="11"/>
            </w:pPr>
            <w:r>
              <w:t>833.81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45.93</w:t>
            </w:r>
          </w:p>
        </w:tc>
        <w:tc>
          <w:tcPr>
            <w:tcW w:w="1134" w:type="dxa"/>
            <w:vAlign w:val="center"/>
          </w:tcPr>
          <w:p>
            <w:pPr>
              <w:pStyle w:val="11"/>
            </w:pPr>
            <w:r>
              <w:t>45.93</w:t>
            </w:r>
          </w:p>
        </w:tc>
        <w:tc>
          <w:tcPr>
            <w:tcW w:w="1134" w:type="dxa"/>
            <w:vAlign w:val="center"/>
          </w:tcPr>
          <w:p>
            <w:pPr>
              <w:pStyle w:val="11"/>
            </w:pPr>
            <w:r>
              <w:t>45.93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45.93</w:t>
            </w:r>
          </w:p>
        </w:tc>
        <w:tc>
          <w:tcPr>
            <w:tcW w:w="1134" w:type="dxa"/>
            <w:vAlign w:val="center"/>
          </w:tcPr>
          <w:p>
            <w:pPr>
              <w:pStyle w:val="11"/>
            </w:pPr>
            <w:r>
              <w:t>45.93</w:t>
            </w:r>
          </w:p>
        </w:tc>
        <w:tc>
          <w:tcPr>
            <w:tcW w:w="1134" w:type="dxa"/>
            <w:vAlign w:val="center"/>
          </w:tcPr>
          <w:p>
            <w:pPr>
              <w:pStyle w:val="11"/>
            </w:pPr>
            <w:r>
              <w:t>45.93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45.93</w:t>
            </w:r>
          </w:p>
        </w:tc>
        <w:tc>
          <w:tcPr>
            <w:tcW w:w="1134" w:type="dxa"/>
            <w:vAlign w:val="center"/>
          </w:tcPr>
          <w:p>
            <w:pPr>
              <w:pStyle w:val="11"/>
            </w:pPr>
            <w:r>
              <w:t>45.93</w:t>
            </w:r>
          </w:p>
        </w:tc>
        <w:tc>
          <w:tcPr>
            <w:tcW w:w="1134" w:type="dxa"/>
            <w:vAlign w:val="center"/>
          </w:tcPr>
          <w:p>
            <w:pPr>
              <w:pStyle w:val="11"/>
            </w:pPr>
            <w:r>
              <w:t>45.93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620唐山市供销合作总社</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1040.14</w:t>
            </w:r>
          </w:p>
        </w:tc>
        <w:tc>
          <w:tcPr>
            <w:tcW w:w="1361" w:type="dxa"/>
            <w:vAlign w:val="center"/>
          </w:tcPr>
          <w:p>
            <w:pPr>
              <w:pStyle w:val="15"/>
            </w:pPr>
            <w:r>
              <w:t>984.31</w:t>
            </w:r>
          </w:p>
        </w:tc>
        <w:tc>
          <w:tcPr>
            <w:tcW w:w="1361" w:type="dxa"/>
            <w:vAlign w:val="center"/>
          </w:tcPr>
          <w:p>
            <w:pPr>
              <w:pStyle w:val="15"/>
            </w:pPr>
            <w:r>
              <w:t>55.83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2.90</w:t>
            </w:r>
          </w:p>
        </w:tc>
        <w:tc>
          <w:tcPr>
            <w:tcW w:w="1361" w:type="dxa"/>
            <w:vAlign w:val="center"/>
          </w:tcPr>
          <w:p>
            <w:pPr>
              <w:pStyle w:val="11"/>
            </w:pPr>
            <w:r>
              <w:t>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2.90</w:t>
            </w:r>
          </w:p>
        </w:tc>
        <w:tc>
          <w:tcPr>
            <w:tcW w:w="1361" w:type="dxa"/>
            <w:vAlign w:val="center"/>
          </w:tcPr>
          <w:p>
            <w:pPr>
              <w:pStyle w:val="11"/>
            </w:pPr>
            <w:r>
              <w:t>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2.90</w:t>
            </w:r>
          </w:p>
        </w:tc>
        <w:tc>
          <w:tcPr>
            <w:tcW w:w="1361" w:type="dxa"/>
            <w:vAlign w:val="center"/>
          </w:tcPr>
          <w:p>
            <w:pPr>
              <w:pStyle w:val="11"/>
            </w:pPr>
            <w:r>
              <w:t>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61.24</w:t>
            </w:r>
          </w:p>
        </w:tc>
        <w:tc>
          <w:tcPr>
            <w:tcW w:w="1361" w:type="dxa"/>
            <w:vAlign w:val="center"/>
          </w:tcPr>
          <w:p>
            <w:pPr>
              <w:pStyle w:val="11"/>
            </w:pPr>
            <w:r>
              <w:t>61.24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61.24</w:t>
            </w:r>
          </w:p>
        </w:tc>
        <w:tc>
          <w:tcPr>
            <w:tcW w:w="1361" w:type="dxa"/>
            <w:vAlign w:val="center"/>
          </w:tcPr>
          <w:p>
            <w:pPr>
              <w:pStyle w:val="11"/>
            </w:pPr>
            <w:r>
              <w:t>61.24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61.24</w:t>
            </w:r>
          </w:p>
        </w:tc>
        <w:tc>
          <w:tcPr>
            <w:tcW w:w="1361" w:type="dxa"/>
            <w:vAlign w:val="center"/>
          </w:tcPr>
          <w:p>
            <w:pPr>
              <w:pStyle w:val="11"/>
            </w:pPr>
            <w:r>
              <w:t>61.24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46.26</w:t>
            </w:r>
          </w:p>
        </w:tc>
        <w:tc>
          <w:tcPr>
            <w:tcW w:w="1361" w:type="dxa"/>
            <w:vAlign w:val="center"/>
          </w:tcPr>
          <w:p>
            <w:pPr>
              <w:pStyle w:val="11"/>
            </w:pPr>
            <w:r>
              <w:t>46.26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46.26</w:t>
            </w:r>
          </w:p>
        </w:tc>
        <w:tc>
          <w:tcPr>
            <w:tcW w:w="1361" w:type="dxa"/>
            <w:vAlign w:val="center"/>
          </w:tcPr>
          <w:p>
            <w:pPr>
              <w:pStyle w:val="11"/>
            </w:pPr>
            <w:r>
              <w:t>46.26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21.99</w:t>
            </w:r>
          </w:p>
        </w:tc>
        <w:tc>
          <w:tcPr>
            <w:tcW w:w="1361" w:type="dxa"/>
            <w:vAlign w:val="center"/>
          </w:tcPr>
          <w:p>
            <w:pPr>
              <w:pStyle w:val="11"/>
            </w:pPr>
            <w:r>
              <w:t>21.99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24.27</w:t>
            </w:r>
          </w:p>
        </w:tc>
        <w:tc>
          <w:tcPr>
            <w:tcW w:w="1361" w:type="dxa"/>
            <w:vAlign w:val="center"/>
          </w:tcPr>
          <w:p>
            <w:pPr>
              <w:pStyle w:val="11"/>
            </w:pPr>
            <w:r>
              <w:t>24.27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833.81</w:t>
            </w:r>
          </w:p>
        </w:tc>
        <w:tc>
          <w:tcPr>
            <w:tcW w:w="1361" w:type="dxa"/>
            <w:vAlign w:val="center"/>
          </w:tcPr>
          <w:p>
            <w:pPr>
              <w:pStyle w:val="11"/>
            </w:pPr>
            <w:r>
              <w:t>827.98</w:t>
            </w:r>
          </w:p>
        </w:tc>
        <w:tc>
          <w:tcPr>
            <w:tcW w:w="1361" w:type="dxa"/>
            <w:vAlign w:val="center"/>
          </w:tcPr>
          <w:p>
            <w:pPr>
              <w:pStyle w:val="11"/>
            </w:pPr>
            <w:r>
              <w:t>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21602</w:t>
            </w:r>
          </w:p>
        </w:tc>
        <w:tc>
          <w:tcPr>
            <w:tcW w:w="4535" w:type="dxa"/>
            <w:vAlign w:val="center"/>
          </w:tcPr>
          <w:p>
            <w:pPr>
              <w:pStyle w:val="12"/>
            </w:pPr>
            <w:r>
              <w:t>商业流通事务</w:t>
            </w:r>
          </w:p>
        </w:tc>
        <w:tc>
          <w:tcPr>
            <w:tcW w:w="1361" w:type="dxa"/>
            <w:vAlign w:val="center"/>
          </w:tcPr>
          <w:p>
            <w:pPr>
              <w:pStyle w:val="11"/>
            </w:pPr>
            <w:r>
              <w:t>833.81</w:t>
            </w:r>
          </w:p>
        </w:tc>
        <w:tc>
          <w:tcPr>
            <w:tcW w:w="1361" w:type="dxa"/>
            <w:vAlign w:val="center"/>
          </w:tcPr>
          <w:p>
            <w:pPr>
              <w:pStyle w:val="11"/>
            </w:pPr>
            <w:r>
              <w:t>827.98</w:t>
            </w:r>
          </w:p>
        </w:tc>
        <w:tc>
          <w:tcPr>
            <w:tcW w:w="1361" w:type="dxa"/>
            <w:vAlign w:val="center"/>
          </w:tcPr>
          <w:p>
            <w:pPr>
              <w:pStyle w:val="11"/>
            </w:pPr>
            <w:r>
              <w:t>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2160201</w:t>
            </w:r>
          </w:p>
        </w:tc>
        <w:tc>
          <w:tcPr>
            <w:tcW w:w="4535" w:type="dxa"/>
            <w:vAlign w:val="center"/>
          </w:tcPr>
          <w:p>
            <w:pPr>
              <w:pStyle w:val="12"/>
            </w:pPr>
            <w:r>
              <w:t>行政运行</w:t>
            </w:r>
          </w:p>
        </w:tc>
        <w:tc>
          <w:tcPr>
            <w:tcW w:w="1361" w:type="dxa"/>
            <w:vAlign w:val="center"/>
          </w:tcPr>
          <w:p>
            <w:pPr>
              <w:pStyle w:val="11"/>
            </w:pPr>
            <w:r>
              <w:t>833.81</w:t>
            </w:r>
          </w:p>
        </w:tc>
        <w:tc>
          <w:tcPr>
            <w:tcW w:w="1361" w:type="dxa"/>
            <w:vAlign w:val="center"/>
          </w:tcPr>
          <w:p>
            <w:pPr>
              <w:pStyle w:val="11"/>
            </w:pPr>
            <w:r>
              <w:t>827.98</w:t>
            </w:r>
          </w:p>
        </w:tc>
        <w:tc>
          <w:tcPr>
            <w:tcW w:w="1361" w:type="dxa"/>
            <w:vAlign w:val="center"/>
          </w:tcPr>
          <w:p>
            <w:pPr>
              <w:pStyle w:val="11"/>
            </w:pPr>
            <w:r>
              <w:t>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45.93</w:t>
            </w:r>
          </w:p>
        </w:tc>
        <w:tc>
          <w:tcPr>
            <w:tcW w:w="1361" w:type="dxa"/>
            <w:vAlign w:val="center"/>
          </w:tcPr>
          <w:p>
            <w:pPr>
              <w:pStyle w:val="11"/>
            </w:pPr>
            <w:r>
              <w:t>45.93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45.93</w:t>
            </w:r>
          </w:p>
        </w:tc>
        <w:tc>
          <w:tcPr>
            <w:tcW w:w="1361" w:type="dxa"/>
            <w:vAlign w:val="center"/>
          </w:tcPr>
          <w:p>
            <w:pPr>
              <w:pStyle w:val="11"/>
            </w:pPr>
            <w:r>
              <w:t>45.93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45.93</w:t>
            </w:r>
          </w:p>
        </w:tc>
        <w:tc>
          <w:tcPr>
            <w:tcW w:w="1361" w:type="dxa"/>
            <w:vAlign w:val="center"/>
          </w:tcPr>
          <w:p>
            <w:pPr>
              <w:pStyle w:val="11"/>
            </w:pPr>
            <w:r>
              <w:t>45.93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620唐山市供销合作总社</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1040.14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2.90</w:t>
            </w:r>
          </w:p>
        </w:tc>
        <w:tc>
          <w:tcPr>
            <w:tcW w:w="1474" w:type="dxa"/>
            <w:vAlign w:val="center"/>
          </w:tcPr>
          <w:p>
            <w:pPr>
              <w:pStyle w:val="11"/>
            </w:pPr>
            <w:r>
              <w:t>2.90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61.24</w:t>
            </w:r>
          </w:p>
        </w:tc>
        <w:tc>
          <w:tcPr>
            <w:tcW w:w="1474" w:type="dxa"/>
            <w:vAlign w:val="center"/>
          </w:tcPr>
          <w:p>
            <w:pPr>
              <w:pStyle w:val="11"/>
            </w:pPr>
            <w:r>
              <w:t>61.24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46.26</w:t>
            </w:r>
          </w:p>
        </w:tc>
        <w:tc>
          <w:tcPr>
            <w:tcW w:w="1474" w:type="dxa"/>
            <w:vAlign w:val="center"/>
          </w:tcPr>
          <w:p>
            <w:pPr>
              <w:pStyle w:val="11"/>
            </w:pPr>
            <w:r>
              <w:t>46.26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50.00</w:t>
            </w:r>
          </w:p>
        </w:tc>
        <w:tc>
          <w:tcPr>
            <w:tcW w:w="1474" w:type="dxa"/>
            <w:vAlign w:val="center"/>
          </w:tcPr>
          <w:p>
            <w:pPr>
              <w:pStyle w:val="11"/>
            </w:pPr>
            <w:r>
              <w:t>50.00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833.81</w:t>
            </w:r>
          </w:p>
        </w:tc>
        <w:tc>
          <w:tcPr>
            <w:tcW w:w="1474" w:type="dxa"/>
            <w:vAlign w:val="center"/>
          </w:tcPr>
          <w:p>
            <w:pPr>
              <w:pStyle w:val="11"/>
            </w:pPr>
            <w:r>
              <w:t>833.81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45.93</w:t>
            </w:r>
          </w:p>
        </w:tc>
        <w:tc>
          <w:tcPr>
            <w:tcW w:w="1474" w:type="dxa"/>
            <w:vAlign w:val="center"/>
          </w:tcPr>
          <w:p>
            <w:pPr>
              <w:pStyle w:val="11"/>
            </w:pPr>
            <w:r>
              <w:t>45.93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1040.14</w:t>
            </w:r>
          </w:p>
        </w:tc>
        <w:tc>
          <w:tcPr>
            <w:tcW w:w="3402" w:type="dxa"/>
            <w:vAlign w:val="center"/>
          </w:tcPr>
          <w:p>
            <w:pPr>
              <w:pStyle w:val="14"/>
            </w:pPr>
            <w:r>
              <w:t>本年支出合计</w:t>
            </w:r>
          </w:p>
        </w:tc>
        <w:tc>
          <w:tcPr>
            <w:tcW w:w="1474" w:type="dxa"/>
            <w:vAlign w:val="center"/>
          </w:tcPr>
          <w:p>
            <w:pPr>
              <w:pStyle w:val="15"/>
            </w:pPr>
            <w:r>
              <w:t>1040.14</w:t>
            </w:r>
          </w:p>
        </w:tc>
        <w:tc>
          <w:tcPr>
            <w:tcW w:w="1474" w:type="dxa"/>
            <w:vAlign w:val="center"/>
          </w:tcPr>
          <w:p>
            <w:pPr>
              <w:pStyle w:val="15"/>
            </w:pPr>
            <w:r>
              <w:t>1040.14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1040.14</w:t>
            </w:r>
          </w:p>
        </w:tc>
        <w:tc>
          <w:tcPr>
            <w:tcW w:w="3402" w:type="dxa"/>
            <w:vAlign w:val="center"/>
          </w:tcPr>
          <w:p>
            <w:pPr>
              <w:pStyle w:val="14"/>
            </w:pPr>
            <w:r>
              <w:t>支出总计</w:t>
            </w:r>
          </w:p>
        </w:tc>
        <w:tc>
          <w:tcPr>
            <w:tcW w:w="1474" w:type="dxa"/>
            <w:vAlign w:val="center"/>
          </w:tcPr>
          <w:p>
            <w:pPr>
              <w:pStyle w:val="15"/>
            </w:pPr>
            <w:r>
              <w:t>1040.14</w:t>
            </w:r>
          </w:p>
        </w:tc>
        <w:tc>
          <w:tcPr>
            <w:tcW w:w="1474" w:type="dxa"/>
            <w:vAlign w:val="center"/>
          </w:tcPr>
          <w:p>
            <w:pPr>
              <w:pStyle w:val="15"/>
            </w:pPr>
            <w:r>
              <w:t>1040.14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620唐山市供销合作总社</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1040.14</w:t>
            </w:r>
          </w:p>
        </w:tc>
        <w:tc>
          <w:tcPr>
            <w:tcW w:w="2551" w:type="dxa"/>
            <w:vAlign w:val="center"/>
          </w:tcPr>
          <w:p>
            <w:pPr>
              <w:pStyle w:val="15"/>
            </w:pPr>
            <w:r>
              <w:t>984.31</w:t>
            </w:r>
          </w:p>
        </w:tc>
        <w:tc>
          <w:tcPr>
            <w:tcW w:w="2551" w:type="dxa"/>
            <w:vAlign w:val="center"/>
          </w:tcPr>
          <w:p>
            <w:pPr>
              <w:pStyle w:val="15"/>
            </w:pPr>
            <w:r>
              <w:t>55.83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2.90</w:t>
            </w:r>
          </w:p>
        </w:tc>
        <w:tc>
          <w:tcPr>
            <w:tcW w:w="2551" w:type="dxa"/>
            <w:vAlign w:val="center"/>
          </w:tcPr>
          <w:p>
            <w:pPr>
              <w:pStyle w:val="11"/>
            </w:pPr>
            <w:r>
              <w:t>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2.90</w:t>
            </w:r>
          </w:p>
        </w:tc>
        <w:tc>
          <w:tcPr>
            <w:tcW w:w="2551" w:type="dxa"/>
            <w:vAlign w:val="center"/>
          </w:tcPr>
          <w:p>
            <w:pPr>
              <w:pStyle w:val="11"/>
            </w:pPr>
            <w:r>
              <w:t>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2.90</w:t>
            </w:r>
          </w:p>
        </w:tc>
        <w:tc>
          <w:tcPr>
            <w:tcW w:w="2551" w:type="dxa"/>
            <w:vAlign w:val="center"/>
          </w:tcPr>
          <w:p>
            <w:pPr>
              <w:pStyle w:val="11"/>
            </w:pPr>
            <w:r>
              <w:t>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61.24</w:t>
            </w:r>
          </w:p>
        </w:tc>
        <w:tc>
          <w:tcPr>
            <w:tcW w:w="2551" w:type="dxa"/>
            <w:vAlign w:val="center"/>
          </w:tcPr>
          <w:p>
            <w:pPr>
              <w:pStyle w:val="11"/>
            </w:pPr>
            <w:r>
              <w:t>61.24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61.24</w:t>
            </w:r>
          </w:p>
        </w:tc>
        <w:tc>
          <w:tcPr>
            <w:tcW w:w="2551" w:type="dxa"/>
            <w:vAlign w:val="center"/>
          </w:tcPr>
          <w:p>
            <w:pPr>
              <w:pStyle w:val="11"/>
            </w:pPr>
            <w:r>
              <w:t>61.24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61.24</w:t>
            </w:r>
          </w:p>
        </w:tc>
        <w:tc>
          <w:tcPr>
            <w:tcW w:w="2551" w:type="dxa"/>
            <w:vAlign w:val="center"/>
          </w:tcPr>
          <w:p>
            <w:pPr>
              <w:pStyle w:val="11"/>
            </w:pPr>
            <w:r>
              <w:t>61.24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46.26</w:t>
            </w:r>
          </w:p>
        </w:tc>
        <w:tc>
          <w:tcPr>
            <w:tcW w:w="2551" w:type="dxa"/>
            <w:vAlign w:val="center"/>
          </w:tcPr>
          <w:p>
            <w:pPr>
              <w:pStyle w:val="11"/>
            </w:pPr>
            <w:r>
              <w:t>46.26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46.26</w:t>
            </w:r>
          </w:p>
        </w:tc>
        <w:tc>
          <w:tcPr>
            <w:tcW w:w="2551" w:type="dxa"/>
            <w:vAlign w:val="center"/>
          </w:tcPr>
          <w:p>
            <w:pPr>
              <w:pStyle w:val="11"/>
            </w:pPr>
            <w:r>
              <w:t>46.26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21.99</w:t>
            </w:r>
          </w:p>
        </w:tc>
        <w:tc>
          <w:tcPr>
            <w:tcW w:w="2551" w:type="dxa"/>
            <w:vAlign w:val="center"/>
          </w:tcPr>
          <w:p>
            <w:pPr>
              <w:pStyle w:val="11"/>
            </w:pPr>
            <w:r>
              <w:t>21.99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24.27</w:t>
            </w:r>
          </w:p>
        </w:tc>
        <w:tc>
          <w:tcPr>
            <w:tcW w:w="2551" w:type="dxa"/>
            <w:vAlign w:val="center"/>
          </w:tcPr>
          <w:p>
            <w:pPr>
              <w:pStyle w:val="11"/>
            </w:pPr>
            <w:r>
              <w:t>24.27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833.81</w:t>
            </w:r>
          </w:p>
        </w:tc>
        <w:tc>
          <w:tcPr>
            <w:tcW w:w="2551" w:type="dxa"/>
            <w:vAlign w:val="center"/>
          </w:tcPr>
          <w:p>
            <w:pPr>
              <w:pStyle w:val="11"/>
            </w:pPr>
            <w:r>
              <w:t>827.98</w:t>
            </w:r>
          </w:p>
        </w:tc>
        <w:tc>
          <w:tcPr>
            <w:tcW w:w="2551" w:type="dxa"/>
            <w:vAlign w:val="center"/>
          </w:tcPr>
          <w:p>
            <w:pPr>
              <w:pStyle w:val="11"/>
            </w:pPr>
            <w:r>
              <w:t>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833.81</w:t>
            </w:r>
          </w:p>
        </w:tc>
        <w:tc>
          <w:tcPr>
            <w:tcW w:w="2551" w:type="dxa"/>
            <w:vAlign w:val="center"/>
          </w:tcPr>
          <w:p>
            <w:pPr>
              <w:pStyle w:val="11"/>
            </w:pPr>
            <w:r>
              <w:t>827.98</w:t>
            </w:r>
          </w:p>
        </w:tc>
        <w:tc>
          <w:tcPr>
            <w:tcW w:w="2551" w:type="dxa"/>
            <w:vAlign w:val="center"/>
          </w:tcPr>
          <w:p>
            <w:pPr>
              <w:pStyle w:val="11"/>
            </w:pPr>
            <w:r>
              <w:t>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2160201</w:t>
            </w:r>
          </w:p>
        </w:tc>
        <w:tc>
          <w:tcPr>
            <w:tcW w:w="4535" w:type="dxa"/>
            <w:vAlign w:val="center"/>
          </w:tcPr>
          <w:p>
            <w:pPr>
              <w:pStyle w:val="12"/>
            </w:pPr>
            <w:r>
              <w:t>行政运行</w:t>
            </w:r>
          </w:p>
        </w:tc>
        <w:tc>
          <w:tcPr>
            <w:tcW w:w="2551" w:type="dxa"/>
            <w:vAlign w:val="center"/>
          </w:tcPr>
          <w:p>
            <w:pPr>
              <w:pStyle w:val="11"/>
            </w:pPr>
            <w:r>
              <w:t>833.81</w:t>
            </w:r>
          </w:p>
        </w:tc>
        <w:tc>
          <w:tcPr>
            <w:tcW w:w="2551" w:type="dxa"/>
            <w:vAlign w:val="center"/>
          </w:tcPr>
          <w:p>
            <w:pPr>
              <w:pStyle w:val="11"/>
            </w:pPr>
            <w:r>
              <w:t>827.98</w:t>
            </w:r>
          </w:p>
        </w:tc>
        <w:tc>
          <w:tcPr>
            <w:tcW w:w="2551" w:type="dxa"/>
            <w:vAlign w:val="center"/>
          </w:tcPr>
          <w:p>
            <w:pPr>
              <w:pStyle w:val="11"/>
            </w:pPr>
            <w:r>
              <w:t>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45.93</w:t>
            </w:r>
          </w:p>
        </w:tc>
        <w:tc>
          <w:tcPr>
            <w:tcW w:w="2551" w:type="dxa"/>
            <w:vAlign w:val="center"/>
          </w:tcPr>
          <w:p>
            <w:pPr>
              <w:pStyle w:val="11"/>
            </w:pPr>
            <w:r>
              <w:t>45.93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45.93</w:t>
            </w:r>
          </w:p>
        </w:tc>
        <w:tc>
          <w:tcPr>
            <w:tcW w:w="2551" w:type="dxa"/>
            <w:vAlign w:val="center"/>
          </w:tcPr>
          <w:p>
            <w:pPr>
              <w:pStyle w:val="11"/>
            </w:pPr>
            <w:r>
              <w:t>45.93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45.93</w:t>
            </w:r>
          </w:p>
        </w:tc>
        <w:tc>
          <w:tcPr>
            <w:tcW w:w="2551" w:type="dxa"/>
            <w:vAlign w:val="center"/>
          </w:tcPr>
          <w:p>
            <w:pPr>
              <w:pStyle w:val="11"/>
            </w:pPr>
            <w:r>
              <w:t>45.93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620唐山市供销合作总社</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984.31</w:t>
            </w:r>
          </w:p>
        </w:tc>
        <w:tc>
          <w:tcPr>
            <w:tcW w:w="2551" w:type="dxa"/>
            <w:vAlign w:val="center"/>
          </w:tcPr>
          <w:p>
            <w:pPr>
              <w:pStyle w:val="15"/>
            </w:pPr>
            <w:r>
              <w:t>872.50</w:t>
            </w:r>
          </w:p>
        </w:tc>
        <w:tc>
          <w:tcPr>
            <w:tcW w:w="2551" w:type="dxa"/>
            <w:vAlign w:val="center"/>
          </w:tcPr>
          <w:p>
            <w:pPr>
              <w:pStyle w:val="15"/>
            </w:pPr>
            <w:r>
              <w:t>111.81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570.57</w:t>
            </w:r>
          </w:p>
        </w:tc>
        <w:tc>
          <w:tcPr>
            <w:tcW w:w="2551" w:type="dxa"/>
            <w:vAlign w:val="center"/>
          </w:tcPr>
          <w:p>
            <w:pPr>
              <w:pStyle w:val="11"/>
            </w:pPr>
            <w:r>
              <w:t>570.57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163.72</w:t>
            </w:r>
          </w:p>
        </w:tc>
        <w:tc>
          <w:tcPr>
            <w:tcW w:w="2551" w:type="dxa"/>
            <w:vAlign w:val="center"/>
          </w:tcPr>
          <w:p>
            <w:pPr>
              <w:pStyle w:val="11"/>
            </w:pPr>
            <w:r>
              <w:t>163.72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158.82</w:t>
            </w:r>
          </w:p>
        </w:tc>
        <w:tc>
          <w:tcPr>
            <w:tcW w:w="2551" w:type="dxa"/>
            <w:vAlign w:val="center"/>
          </w:tcPr>
          <w:p>
            <w:pPr>
              <w:pStyle w:val="11"/>
            </w:pPr>
            <w:r>
              <w:t>158.82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93.08</w:t>
            </w:r>
          </w:p>
        </w:tc>
        <w:tc>
          <w:tcPr>
            <w:tcW w:w="2551" w:type="dxa"/>
            <w:vAlign w:val="center"/>
          </w:tcPr>
          <w:p>
            <w:pPr>
              <w:pStyle w:val="11"/>
            </w:pPr>
            <w:r>
              <w:t>93.08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61.24</w:t>
            </w:r>
          </w:p>
        </w:tc>
        <w:tc>
          <w:tcPr>
            <w:tcW w:w="2551" w:type="dxa"/>
            <w:vAlign w:val="center"/>
          </w:tcPr>
          <w:p>
            <w:pPr>
              <w:pStyle w:val="11"/>
            </w:pPr>
            <w:r>
              <w:t>61.24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21.99</w:t>
            </w:r>
          </w:p>
        </w:tc>
        <w:tc>
          <w:tcPr>
            <w:tcW w:w="2551" w:type="dxa"/>
            <w:vAlign w:val="center"/>
          </w:tcPr>
          <w:p>
            <w:pPr>
              <w:pStyle w:val="11"/>
            </w:pPr>
            <w:r>
              <w:t>21.99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24.27</w:t>
            </w:r>
          </w:p>
        </w:tc>
        <w:tc>
          <w:tcPr>
            <w:tcW w:w="2551" w:type="dxa"/>
            <w:vAlign w:val="center"/>
          </w:tcPr>
          <w:p>
            <w:pPr>
              <w:pStyle w:val="11"/>
            </w:pPr>
            <w:r>
              <w:t>24.27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1.52</w:t>
            </w:r>
          </w:p>
        </w:tc>
        <w:tc>
          <w:tcPr>
            <w:tcW w:w="2551" w:type="dxa"/>
            <w:vAlign w:val="center"/>
          </w:tcPr>
          <w:p>
            <w:pPr>
              <w:pStyle w:val="11"/>
            </w:pPr>
            <w:r>
              <w:t>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45.93</w:t>
            </w:r>
          </w:p>
        </w:tc>
        <w:tc>
          <w:tcPr>
            <w:tcW w:w="2551" w:type="dxa"/>
            <w:vAlign w:val="center"/>
          </w:tcPr>
          <w:p>
            <w:pPr>
              <w:pStyle w:val="11"/>
            </w:pPr>
            <w:r>
              <w:t>45.93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111.81</w:t>
            </w:r>
          </w:p>
        </w:tc>
        <w:tc>
          <w:tcPr>
            <w:tcW w:w="2551" w:type="dxa"/>
            <w:vAlign w:val="center"/>
          </w:tcPr>
          <w:p>
            <w:pPr>
              <w:pStyle w:val="11"/>
            </w:pPr>
          </w:p>
        </w:tc>
        <w:tc>
          <w:tcPr>
            <w:tcW w:w="2551" w:type="dxa"/>
            <w:vAlign w:val="center"/>
          </w:tcPr>
          <w:p>
            <w:pPr>
              <w:pStyle w:val="11"/>
            </w:pPr>
            <w:r>
              <w:t>111.81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2.52</w:t>
            </w:r>
          </w:p>
        </w:tc>
        <w:tc>
          <w:tcPr>
            <w:tcW w:w="2551" w:type="dxa"/>
            <w:vAlign w:val="center"/>
          </w:tcPr>
          <w:p>
            <w:pPr>
              <w:pStyle w:val="11"/>
            </w:pPr>
          </w:p>
        </w:tc>
        <w:tc>
          <w:tcPr>
            <w:tcW w:w="2551" w:type="dxa"/>
            <w:vAlign w:val="center"/>
          </w:tcPr>
          <w:p>
            <w:pPr>
              <w:pStyle w:val="11"/>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10.90</w:t>
            </w:r>
          </w:p>
        </w:tc>
        <w:tc>
          <w:tcPr>
            <w:tcW w:w="2551" w:type="dxa"/>
            <w:vAlign w:val="center"/>
          </w:tcPr>
          <w:p>
            <w:pPr>
              <w:pStyle w:val="11"/>
            </w:pPr>
          </w:p>
        </w:tc>
        <w:tc>
          <w:tcPr>
            <w:tcW w:w="2551" w:type="dxa"/>
            <w:vAlign w:val="center"/>
          </w:tcPr>
          <w:p>
            <w:pPr>
              <w:pStyle w:val="11"/>
            </w:pPr>
            <w:r>
              <w:t>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20.53</w:t>
            </w:r>
          </w:p>
        </w:tc>
        <w:tc>
          <w:tcPr>
            <w:tcW w:w="2551" w:type="dxa"/>
            <w:vAlign w:val="center"/>
          </w:tcPr>
          <w:p>
            <w:pPr>
              <w:pStyle w:val="11"/>
            </w:pPr>
          </w:p>
        </w:tc>
        <w:tc>
          <w:tcPr>
            <w:tcW w:w="2551" w:type="dxa"/>
            <w:vAlign w:val="center"/>
          </w:tcPr>
          <w:p>
            <w:pPr>
              <w:pStyle w:val="11"/>
            </w:pPr>
            <w:r>
              <w:t>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5.18</w:t>
            </w:r>
          </w:p>
        </w:tc>
        <w:tc>
          <w:tcPr>
            <w:tcW w:w="2551" w:type="dxa"/>
            <w:vAlign w:val="center"/>
          </w:tcPr>
          <w:p>
            <w:pPr>
              <w:pStyle w:val="11"/>
            </w:pPr>
          </w:p>
        </w:tc>
        <w:tc>
          <w:tcPr>
            <w:tcW w:w="2551" w:type="dxa"/>
            <w:vAlign w:val="center"/>
          </w:tcPr>
          <w:p>
            <w:pPr>
              <w:pStyle w:val="11"/>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0.95</w:t>
            </w:r>
          </w:p>
        </w:tc>
        <w:tc>
          <w:tcPr>
            <w:tcW w:w="2551" w:type="dxa"/>
            <w:vAlign w:val="center"/>
          </w:tcPr>
          <w:p>
            <w:pPr>
              <w:pStyle w:val="11"/>
            </w:pPr>
          </w:p>
        </w:tc>
        <w:tc>
          <w:tcPr>
            <w:tcW w:w="2551"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2.90</w:t>
            </w:r>
          </w:p>
        </w:tc>
        <w:tc>
          <w:tcPr>
            <w:tcW w:w="2551" w:type="dxa"/>
            <w:vAlign w:val="center"/>
          </w:tcPr>
          <w:p>
            <w:pPr>
              <w:pStyle w:val="11"/>
            </w:pPr>
          </w:p>
        </w:tc>
        <w:tc>
          <w:tcPr>
            <w:tcW w:w="2551" w:type="dxa"/>
            <w:vAlign w:val="center"/>
          </w:tcPr>
          <w:p>
            <w:pPr>
              <w:pStyle w:val="11"/>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0.58</w:t>
            </w:r>
          </w:p>
        </w:tc>
        <w:tc>
          <w:tcPr>
            <w:tcW w:w="2551" w:type="dxa"/>
            <w:vAlign w:val="center"/>
          </w:tcPr>
          <w:p>
            <w:pPr>
              <w:pStyle w:val="11"/>
            </w:pPr>
          </w:p>
        </w:tc>
        <w:tc>
          <w:tcPr>
            <w:tcW w:w="2551" w:type="dxa"/>
            <w:vAlign w:val="center"/>
          </w:tcPr>
          <w:p>
            <w:pPr>
              <w:pStyle w:val="11"/>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3.48</w:t>
            </w:r>
          </w:p>
        </w:tc>
        <w:tc>
          <w:tcPr>
            <w:tcW w:w="2551" w:type="dxa"/>
            <w:vAlign w:val="center"/>
          </w:tcPr>
          <w:p>
            <w:pPr>
              <w:pStyle w:val="11"/>
            </w:pPr>
          </w:p>
        </w:tc>
        <w:tc>
          <w:tcPr>
            <w:tcW w:w="2551" w:type="dxa"/>
            <w:vAlign w:val="center"/>
          </w:tcPr>
          <w:p>
            <w:pPr>
              <w:pStyle w:val="11"/>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4.10</w:t>
            </w:r>
          </w:p>
        </w:tc>
        <w:tc>
          <w:tcPr>
            <w:tcW w:w="2551" w:type="dxa"/>
            <w:vAlign w:val="center"/>
          </w:tcPr>
          <w:p>
            <w:pPr>
              <w:pStyle w:val="11"/>
            </w:pPr>
          </w:p>
        </w:tc>
        <w:tc>
          <w:tcPr>
            <w:tcW w:w="2551" w:type="dxa"/>
            <w:vAlign w:val="center"/>
          </w:tcPr>
          <w:p>
            <w:pPr>
              <w:pStyle w:val="11"/>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9.02</w:t>
            </w:r>
          </w:p>
        </w:tc>
        <w:tc>
          <w:tcPr>
            <w:tcW w:w="2551" w:type="dxa"/>
            <w:vAlign w:val="center"/>
          </w:tcPr>
          <w:p>
            <w:pPr>
              <w:pStyle w:val="11"/>
            </w:pPr>
          </w:p>
        </w:tc>
        <w:tc>
          <w:tcPr>
            <w:tcW w:w="2551" w:type="dxa"/>
            <w:vAlign w:val="center"/>
          </w:tcPr>
          <w:p>
            <w:pPr>
              <w:pStyle w:val="11"/>
            </w:pPr>
            <w:r>
              <w:t>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25.96</w:t>
            </w:r>
          </w:p>
        </w:tc>
        <w:tc>
          <w:tcPr>
            <w:tcW w:w="2551" w:type="dxa"/>
            <w:vAlign w:val="center"/>
          </w:tcPr>
          <w:p>
            <w:pPr>
              <w:pStyle w:val="11"/>
            </w:pPr>
          </w:p>
        </w:tc>
        <w:tc>
          <w:tcPr>
            <w:tcW w:w="2551" w:type="dxa"/>
            <w:vAlign w:val="center"/>
          </w:tcPr>
          <w:p>
            <w:pPr>
              <w:pStyle w:val="11"/>
            </w:pPr>
            <w:r>
              <w:t>25.96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16.84</w:t>
            </w:r>
          </w:p>
        </w:tc>
        <w:tc>
          <w:tcPr>
            <w:tcW w:w="2551" w:type="dxa"/>
            <w:vAlign w:val="center"/>
          </w:tcPr>
          <w:p>
            <w:pPr>
              <w:pStyle w:val="11"/>
            </w:pPr>
          </w:p>
        </w:tc>
        <w:tc>
          <w:tcPr>
            <w:tcW w:w="2551" w:type="dxa"/>
            <w:vAlign w:val="center"/>
          </w:tcPr>
          <w:p>
            <w:pPr>
              <w:pStyle w:val="11"/>
            </w:pPr>
            <w:r>
              <w:t>16.84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301.93</w:t>
            </w:r>
          </w:p>
        </w:tc>
        <w:tc>
          <w:tcPr>
            <w:tcW w:w="2551" w:type="dxa"/>
            <w:vAlign w:val="center"/>
          </w:tcPr>
          <w:p>
            <w:pPr>
              <w:pStyle w:val="11"/>
            </w:pPr>
            <w:r>
              <w:t>301.93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109.13</w:t>
            </w:r>
          </w:p>
        </w:tc>
        <w:tc>
          <w:tcPr>
            <w:tcW w:w="2551" w:type="dxa"/>
            <w:vAlign w:val="center"/>
          </w:tcPr>
          <w:p>
            <w:pPr>
              <w:pStyle w:val="11"/>
            </w:pPr>
            <w:r>
              <w:t>109.13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159.80</w:t>
            </w:r>
          </w:p>
        </w:tc>
        <w:tc>
          <w:tcPr>
            <w:tcW w:w="2551" w:type="dxa"/>
            <w:vAlign w:val="center"/>
          </w:tcPr>
          <w:p>
            <w:pPr>
              <w:pStyle w:val="11"/>
            </w:pPr>
            <w:r>
              <w:t>159.80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27.90</w:t>
            </w:r>
          </w:p>
        </w:tc>
        <w:tc>
          <w:tcPr>
            <w:tcW w:w="2551" w:type="dxa"/>
            <w:vAlign w:val="center"/>
          </w:tcPr>
          <w:p>
            <w:pPr>
              <w:pStyle w:val="11"/>
            </w:pPr>
            <w:r>
              <w:t>27.90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0.10</w:t>
            </w:r>
          </w:p>
        </w:tc>
        <w:tc>
          <w:tcPr>
            <w:tcW w:w="2551" w:type="dxa"/>
            <w:vAlign w:val="center"/>
          </w:tcPr>
          <w:p>
            <w:pPr>
              <w:pStyle w:val="11"/>
            </w:pPr>
            <w:r>
              <w:t>0.10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620唐山市供销合作总社</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620唐山市供销合作总社</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620唐山市供销合作总社</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14.10</w:t>
            </w:r>
          </w:p>
        </w:tc>
        <w:tc>
          <w:tcPr>
            <w:tcW w:w="2381" w:type="dxa"/>
            <w:vAlign w:val="center"/>
          </w:tcPr>
          <w:p>
            <w:pPr>
              <w:pStyle w:val="15"/>
            </w:pPr>
            <w:r>
              <w:t>14.10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14.10</w:t>
            </w:r>
          </w:p>
        </w:tc>
        <w:tc>
          <w:tcPr>
            <w:tcW w:w="2381" w:type="dxa"/>
            <w:vAlign w:val="center"/>
          </w:tcPr>
          <w:p>
            <w:pPr>
              <w:pStyle w:val="11"/>
            </w:pPr>
            <w:r>
              <w:t>14.10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13.52</w:t>
            </w:r>
          </w:p>
        </w:tc>
        <w:tc>
          <w:tcPr>
            <w:tcW w:w="2381" w:type="dxa"/>
            <w:vAlign w:val="center"/>
          </w:tcPr>
          <w:p>
            <w:pPr>
              <w:pStyle w:val="11"/>
            </w:pPr>
            <w:r>
              <w:t>13.52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13.52</w:t>
            </w:r>
          </w:p>
        </w:tc>
        <w:tc>
          <w:tcPr>
            <w:tcW w:w="2381" w:type="dxa"/>
            <w:vAlign w:val="center"/>
          </w:tcPr>
          <w:p>
            <w:pPr>
              <w:pStyle w:val="11"/>
            </w:pPr>
            <w:r>
              <w:t>13.52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0.58</w:t>
            </w:r>
          </w:p>
        </w:tc>
        <w:tc>
          <w:tcPr>
            <w:tcW w:w="2381" w:type="dxa"/>
            <w:vAlign w:val="center"/>
          </w:tcPr>
          <w:p>
            <w:pPr>
              <w:pStyle w:val="11"/>
            </w:pPr>
            <w:r>
              <w:t>0.58</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唐山市供销合作总社2023年部门预算信息公开情况说明</w:t>
      </w:r>
    </w:p>
    <w:p>
      <w:pPr>
        <w:jc w:val="center"/>
      </w:pPr>
      <w:r>
        <w:rPr>
          <w:rFonts w:ascii="方正小标宋_GBK" w:hAnsi="方正小标宋_GBK" w:eastAsia="方正小标宋_GBK" w:cs="方正小标宋_GBK"/>
          <w:color w:val="000000"/>
          <w:sz w:val="44"/>
        </w:rPr>
        <w:t>唐山市供销合作总社2023年部门预算信息公开情况说明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按照《预算法》、《地方预决算公开操作规程》和《关于进一步推进预算公开工作的实施意见》规定，现将唐山市供销合作总社2023年部门预算公开如下：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1、宣传贯彻党中央、国务院、省委、省政府和市委、市政府有关“三农”的方针政策，制定全市供销合作社的发展战略和发展规划，指导全市供销合作社的改革与发展。</w:t>
      </w:r>
    </w:p>
    <w:p>
      <w:pPr>
        <w:pStyle w:val="17"/>
      </w:pPr>
      <w:r>
        <w:t>2、维护供销合作社章程赋予的合法权益，促进合作经济的发展。坚持供销合作社合作经济组织属性，发展生产、供销、信用“三位一体”综合合作，提高供销合作社农业社会化服务能力，助力乡村振兴。</w:t>
      </w:r>
    </w:p>
    <w:p>
      <w:pPr>
        <w:pStyle w:val="17"/>
      </w:pPr>
      <w:r>
        <w:t>3、按照市政府授权，对全市重要农业生产资料、农副产品和再生资源经营进行组织、协调、管理，承担政府委托的公益性服务和其他任务，指导所属企业做好棉花、化肥、农药、食盐等国家和市级重要物资的储备工作。</w:t>
      </w:r>
    </w:p>
    <w:p>
      <w:pPr>
        <w:pStyle w:val="17"/>
      </w:pPr>
      <w:r>
        <w:t>4、协调同有关部门的关系，指导全市供销合作社的业务活动。发展电子商务和开展农村合作金融服务，指导系统领办、创办农民专业合作社，更好地履行为农服务职责。指导推进全市农村产权交易市场建设和管理。</w:t>
      </w:r>
    </w:p>
    <w:p>
      <w:pPr>
        <w:pStyle w:val="17"/>
      </w:pPr>
      <w:r>
        <w:t>5、指导市供销合作总社所属企业改革，建立现代企业制度。管理运营本级社有资产，对市直企业行使出资人职能，依法享有所有者的资产收益、重大问题决策和选择管理者的权利。</w:t>
      </w:r>
    </w:p>
    <w:p>
      <w:pPr>
        <w:pStyle w:val="17"/>
      </w:pPr>
      <w:r>
        <w:t>6、完成市委、市政府和省供销社交办的其他任务。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唐山市供销合作总社本级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按照预算管理有关规定，目前我省部门预算的编制实行综合预算管理，即全部收入和支出都反映在预算中。唐山市供销合作总社机关及所属事业单位的收支包含在部门预算中。</w:t>
      </w:r>
    </w:p>
    <w:p>
      <w:pPr>
        <w:pStyle w:val="18"/>
      </w:pPr>
      <w:r>
        <w:t>2023年部门年初预算安排1040.14万元，全部为一般公共预算资金。</w:t>
      </w:r>
    </w:p>
    <w:p>
      <w:pPr>
        <w:pStyle w:val="18"/>
      </w:pPr>
      <w:r>
        <w:t>一是人员经费共计872.5万元，较2022年增加290.05万元，主要原因是增加绩效奖金项目；二是正常公用经费共计111.81万元，较2022年增加6.07元，主要原因是人员增加，公务交通补贴和通讯补贴增加；三是专项公用共计5.83万元，较2022年增加2.1万元，主要原因是增加采购设备经费；部门申报专项项目1个，即农村产权流转交易中心项目，金额50万元，较2022年相比较无变化。用于保障唐山市农村产权流转交易中心日后正常工作开展，唐山市农村产权流转交易市场正常运转，确保为农服务平台健康、持久、有效发展，在振兴乡村、服务“三农”中发挥更大作用。</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部门运行经费共计安排111.81万元，主要用于保证机关正常运转的办公及邮电费、差旅费及一般设备购置费、办公用房水电费、办公用房取暖费、日常维修费、公务车运行维护费等支出。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8"/>
      </w:pPr>
      <w:bookmarkStart w:id="13" w:name="_Toc_3_3_0000000014"/>
      <w:r>
        <w:t>2023年，我部门财政拨款“三公”经费预算安排</w:t>
      </w:r>
      <w:r>
        <w:rPr>
          <w:rFonts w:hint="eastAsia"/>
          <w:lang w:val="en-US" w:eastAsia="zh-CN"/>
        </w:rPr>
        <w:t>14.10</w:t>
      </w:r>
      <w:r>
        <w:t>万元，其中：因公出国（境）费0万元，原因为无国公出国（境）计划</w:t>
      </w:r>
      <w:r>
        <w:rPr>
          <w:rFonts w:hint="eastAsia"/>
          <w:lang w:eastAsia="zh-CN"/>
        </w:rPr>
        <w:t>，</w:t>
      </w:r>
      <w:r>
        <w:t>与2022年相比较无变化；公务用车购置及运维费</w:t>
      </w:r>
      <w:r>
        <w:rPr>
          <w:rFonts w:hint="eastAsia"/>
          <w:lang w:val="en-US" w:eastAsia="zh-CN"/>
        </w:rPr>
        <w:t>13.5</w:t>
      </w:r>
      <w:r>
        <w:t>2万元（其中：公务用车运行维护费</w:t>
      </w:r>
      <w:r>
        <w:rPr>
          <w:rFonts w:hint="eastAsia"/>
          <w:lang w:val="en-US" w:eastAsia="zh-CN"/>
        </w:rPr>
        <w:t>13.52</w:t>
      </w:r>
      <w:r>
        <w:t>万元，公务用车购置费0万元</w:t>
      </w:r>
      <w:r>
        <w:rPr>
          <w:rFonts w:hint="eastAsia"/>
          <w:lang w:eastAsia="zh-CN"/>
        </w:rPr>
        <w:t>，</w:t>
      </w:r>
      <w:r>
        <w:t>原因为无公务用车购置计划),比2022年</w:t>
      </w:r>
      <w:r>
        <w:rPr>
          <w:rFonts w:hint="eastAsia"/>
          <w:lang w:eastAsia="zh-CN"/>
        </w:rPr>
        <w:t>增加</w:t>
      </w:r>
      <w:r>
        <w:rPr>
          <w:rFonts w:hint="eastAsia"/>
          <w:lang w:val="en-US" w:eastAsia="zh-CN"/>
        </w:rPr>
        <w:t>4.5万元，原因是2022年预算不规范，2023年正确列支预算经济分类，实际金额并未增加</w:t>
      </w:r>
      <w:r>
        <w:t>；公务接待费0.58万元，与2022年相比较无变化</w:t>
      </w:r>
      <w:r>
        <w:rPr>
          <w:rFonts w:hint="eastAsia"/>
          <w:lang w:eastAsia="zh-CN"/>
        </w:rPr>
        <w:t>，</w:t>
      </w:r>
      <w:r>
        <w:t>原因为认真落实党政机关厉行节约、反对浪费条例规定，从严控制支出。</w:t>
      </w: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市供销社将以习近平新时代中国特色社会主义思想为指导，认真贯彻落实党的二十大精神，以实施乡村振兴战略为引领，以为农服务为宗旨，认真履行职责，扎实开展工作，着力提升综合服务能力，深化体制机制改革，做强做大主营业务，加快打造服务农民生产生活的生力军和综合平台，定性工作力争优秀，定量工作“保三争二冲一”整体工作在全省领先，全国有位，以出色的工作业绩，为唐山加快实现“三个努力建成”贡献供销力量。</w:t>
      </w:r>
    </w:p>
    <w:p>
      <w:pPr>
        <w:spacing w:line="500" w:lineRule="exact"/>
        <w:ind w:firstLine="560"/>
      </w:pPr>
      <w:r>
        <w:rPr>
          <w:rFonts w:eastAsia="方正仿宋_GBK"/>
          <w:color w:val="000000"/>
          <w:sz w:val="28"/>
        </w:rPr>
        <w:t>（二）分项绩效目标</w:t>
      </w:r>
    </w:p>
    <w:p>
      <w:pPr>
        <w:pStyle w:val="22"/>
      </w:pPr>
      <w:r>
        <w:t>（一）开展农业社会化服务体系建设。</w:t>
      </w:r>
    </w:p>
    <w:p>
      <w:pPr>
        <w:pStyle w:val="22"/>
      </w:pPr>
      <w:r>
        <w:t>绩效目标：进一步发挥自身优势，重点在培育农民合作社、组织带动服务农民上下功夫。通过共同出资、共创品牌、共享利益等方式，带动更多农民参与现代农业发展。</w:t>
      </w:r>
    </w:p>
    <w:p>
      <w:pPr>
        <w:pStyle w:val="22"/>
      </w:pPr>
      <w:r>
        <w:t>绩效指标：全市供销社系统土地流转、土地托管面积同比增长8%以上。</w:t>
      </w:r>
    </w:p>
    <w:p>
      <w:pPr>
        <w:pStyle w:val="22"/>
      </w:pPr>
      <w:r>
        <w:t>（二）强化基层供销社建设，打造为农服务综合体。</w:t>
      </w:r>
    </w:p>
    <w:p>
      <w:pPr>
        <w:pStyle w:val="22"/>
      </w:pPr>
      <w:r>
        <w:t>绩效目标：提高组织带动能力，助力乡村振兴。积极参加总社百强县级社、基层社标杆社、农民专业合作社示范社以及省社农民专业合作社示范社创建。</w:t>
      </w:r>
    </w:p>
    <w:p>
      <w:pPr>
        <w:pStyle w:val="22"/>
      </w:pPr>
      <w:r>
        <w:t>绩效指标：改造升级20个薄弱基层社，总社百强县级社、基层社标杆社、农村综合服务社数量继续全省领先。</w:t>
      </w:r>
    </w:p>
    <w:p>
      <w:pPr>
        <w:pStyle w:val="22"/>
      </w:pPr>
      <w:r>
        <w:t>（三）优化流通网络。</w:t>
      </w:r>
    </w:p>
    <w:p>
      <w:pPr>
        <w:pStyle w:val="22"/>
      </w:pPr>
      <w:r>
        <w:t>绩效目标：构建农产品市场体系，积极谋划、推进农产品加工、销售、市场、连锁、冷链物流、中央厨房等项目。推广农产品直采直销模式，组织开展产销对接活动。</w:t>
      </w:r>
    </w:p>
    <w:p>
      <w:pPr>
        <w:pStyle w:val="22"/>
      </w:pPr>
      <w:r>
        <w:t>绩效指标：全系统主要经济指标同比增长8%以上。</w:t>
      </w:r>
    </w:p>
    <w:p>
      <w:pPr>
        <w:spacing w:line="500" w:lineRule="exact"/>
        <w:ind w:firstLine="560"/>
      </w:pPr>
      <w:r>
        <w:rPr>
          <w:rFonts w:eastAsia="方正仿宋_GBK"/>
          <w:color w:val="000000"/>
          <w:sz w:val="28"/>
        </w:rPr>
        <w:t>（三）工作保障措施</w:t>
      </w:r>
    </w:p>
    <w:p>
      <w:pPr>
        <w:pStyle w:val="23"/>
      </w:pPr>
      <w:r>
        <w:t>一是深化综合改革。深入贯彻党的二十大精神和习近平总书记对供销合作社作出的重要指示批示，牢牢把握当前供销社综合改革的目标任务，加大改革的推动力和执行力，继续深耕“三农”领域，扎根农村，加快打造服务农民生产生活的综合平台，为推进乡村振兴和加快农业农村现代化贡献力量。</w:t>
      </w:r>
    </w:p>
    <w:p>
      <w:pPr>
        <w:pStyle w:val="23"/>
      </w:pPr>
      <w:r>
        <w:t xml:space="preserve">二是推进项目落地。将进一步完善工作机制，明确责任，确保落实。积极加强与中国供销集团有限公司联系沟通，严格按照“五个一”工作机制和《唐山市政府与中国供销集团合作工作台账》的要求，为中再生—（曹妃甸）废旧汽车拆解项目，中再生—（曹妃甸）废钢收购加工项目，“京津冀”优质高端农产品供应保障基地项目等提供全方位服务，确保项目落地见效。 </w:t>
      </w:r>
    </w:p>
    <w:p>
      <w:pPr>
        <w:pStyle w:val="23"/>
      </w:pPr>
      <w:r>
        <w:t>三是提升服务能力。进一步发挥自身优势，重点在培育农民合作社、组织带动服务农民上下功夫。加快推广土地托管、规范开展农村金融服务，通过共同出资、共创品牌、共享利益等方式，带动更多农民参与现代农业发展。</w:t>
      </w:r>
    </w:p>
    <w:p>
      <w:pPr>
        <w:pStyle w:val="23"/>
      </w:pPr>
      <w:r>
        <w:t>四是夯实基层基础。坚持大抓基层的鲜明导向，全面巩固为农服务前沿阵地。提高县级社统筹服务能力，全面提升基层社发展质量，打造乡镇为农服务综合体。强化基层社合作经济组织属性，办好办强农民合作社，通过劳动合作、土地合作等多种途径，将基层社建设成为以农民为主体的综合性合作社。</w:t>
      </w:r>
    </w:p>
    <w:p>
      <w:pPr>
        <w:pStyle w:val="23"/>
      </w:pPr>
      <w:r>
        <w:t>五是优化流通网络。发挥供销社扎根农村、联结城乡的优势，在满足城乡居民消费需求升级等方面，发挥更大作用。大力推进多种形式的产销对接，直供直销，提高流通效率。增强供销社经营网络的综合服务功能，为农民提供家门口的便利服务。加快建设供销系统“线上线下一体化”电商平台。积极培育开发新型业态，打造综合服务平台，满足群众消费需求。</w:t>
      </w:r>
    </w:p>
    <w:p>
      <w:pPr>
        <w:pStyle w:val="23"/>
      </w:pPr>
      <w:r>
        <w:t>六是加快社企改革。加大社有企业改革力度，释放社有企业的内生动力和发展活力。坚持实行开放办社，推进产品、服务、商业模式创新，全面抓好在建项目，加强社有资产管理运营，盘活资产，由管理型向运作型转变，争取政策解决历史遗留问题，解决发展资金短缺瓶颈，切实防范和化解风险。</w:t>
      </w:r>
    </w:p>
    <w:p>
      <w:pPr>
        <w:pStyle w:val="23"/>
      </w:pPr>
      <w:r>
        <w:t>七是创新治理机制。加快推进联合社体制改革和机制创新。健全社员代表大会、理事会、监事会组织架构，完善相关议事决策规则，强化民主管理、民主监督。建立起符合供销社实际的行业指导体系，进一步优化机构设置、职能配置，健全民主集中制，提高科学决策、民主决策水平，促进社有资产保值增值。</w:t>
      </w:r>
    </w:p>
    <w:p>
      <w:pPr>
        <w:pStyle w:val="23"/>
      </w:pPr>
      <w:r>
        <w:t>八是加强廉政建设。把加强党风廉政建设作为一项重要政治任务，持之以恒正风肃纪。严格落实中央八项规定及其实施细则精神，力戒形式主义、官僚主义，弘扬“扁担精神”“背篓精神”等优良传统，坚持为农、务农、姓农价值理念，以优良传统涵养风清气正的政治生态。</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ind w:firstLine="840" w:firstLineChars="300"/>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1、购置办公家具绩效目标表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1.做好购置各种等工作,保障单位业务发展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2835" w:type="dxa"/>
            <w:vAlign w:val="center"/>
          </w:tcPr>
          <w:p>
            <w:pPr>
              <w:pStyle w:val="12"/>
            </w:pPr>
            <w:r>
              <w:t>设备和专用材料购置完成率</w:t>
            </w:r>
          </w:p>
        </w:tc>
        <w:tc>
          <w:tcPr>
            <w:tcW w:w="2551" w:type="dxa"/>
            <w:vAlign w:val="center"/>
          </w:tcPr>
          <w:p>
            <w:pPr>
              <w:pStyle w:val="12"/>
            </w:pPr>
            <w:r>
              <w:t>100%</w:t>
            </w:r>
          </w:p>
        </w:tc>
        <w:tc>
          <w:tcPr>
            <w:tcW w:w="2268"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验收合格率=验收合格的设备数量/当年购置设备数量*100%</w:t>
            </w:r>
          </w:p>
        </w:tc>
        <w:tc>
          <w:tcPr>
            <w:tcW w:w="2551" w:type="dxa"/>
            <w:vAlign w:val="center"/>
          </w:tcPr>
          <w:p>
            <w:pPr>
              <w:pStyle w:val="12"/>
            </w:pPr>
            <w:r>
              <w:t>100%</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预算执行率</w:t>
            </w:r>
          </w:p>
        </w:tc>
        <w:tc>
          <w:tcPr>
            <w:tcW w:w="2551" w:type="dxa"/>
            <w:vAlign w:val="center"/>
          </w:tcPr>
          <w:p>
            <w:pPr>
              <w:pStyle w:val="12"/>
            </w:pPr>
            <w:r>
              <w:t>≥90%</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2835" w:type="dxa"/>
            <w:vAlign w:val="center"/>
          </w:tcPr>
          <w:p>
            <w:pPr>
              <w:pStyle w:val="12"/>
            </w:pPr>
            <w:r>
              <w:t>购置完成时限</w:t>
            </w:r>
          </w:p>
        </w:tc>
        <w:tc>
          <w:tcPr>
            <w:tcW w:w="2551" w:type="dxa"/>
            <w:vAlign w:val="center"/>
          </w:tcPr>
          <w:p>
            <w:pPr>
              <w:pStyle w:val="12"/>
            </w:pPr>
            <w:r>
              <w:t>2023年12月31日</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2835" w:type="dxa"/>
            <w:vAlign w:val="center"/>
          </w:tcPr>
          <w:p>
            <w:pPr>
              <w:pStyle w:val="12"/>
            </w:pPr>
            <w:r>
              <w:t>购置对公共服务水平的提升情况</w:t>
            </w:r>
          </w:p>
        </w:tc>
        <w:tc>
          <w:tcPr>
            <w:tcW w:w="2551" w:type="dxa"/>
            <w:vAlign w:val="center"/>
          </w:tcPr>
          <w:p>
            <w:pPr>
              <w:pStyle w:val="12"/>
            </w:pPr>
            <w:r>
              <w:t>有所提升</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rPr>
                <w:rFonts w:ascii="方正书宋_GBK" w:hAnsi="方正书宋_GBK" w:eastAsia="方正书宋_GBK" w:cs="方正书宋_GBK"/>
                <w:sz w:val="21"/>
                <w:szCs w:val="24"/>
                <w:lang w:val="en-US" w:eastAsia="uk-UA" w:bidi="ar-SA"/>
              </w:rPr>
            </w:pPr>
            <w:r>
              <w:rPr>
                <w:rFonts w:hint="eastAsia"/>
                <w:lang w:eastAsia="zh-CN"/>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2、购置设备绩效目标表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1.做好购置各种等工作,保障单位业务发展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2835" w:type="dxa"/>
            <w:vAlign w:val="center"/>
          </w:tcPr>
          <w:p>
            <w:pPr>
              <w:pStyle w:val="12"/>
            </w:pPr>
            <w:r>
              <w:t>设备和专用材料购置完成率</w:t>
            </w:r>
          </w:p>
        </w:tc>
        <w:tc>
          <w:tcPr>
            <w:tcW w:w="2551" w:type="dxa"/>
            <w:vAlign w:val="center"/>
          </w:tcPr>
          <w:p>
            <w:pPr>
              <w:pStyle w:val="12"/>
            </w:pPr>
            <w:r>
              <w:t>100%</w:t>
            </w:r>
          </w:p>
        </w:tc>
        <w:tc>
          <w:tcPr>
            <w:tcW w:w="2268" w:type="dxa"/>
            <w:vAlign w:val="center"/>
          </w:tcPr>
          <w:p>
            <w:pPr>
              <w:pStyle w:val="12"/>
              <w:rPr>
                <w:rFonts w:hint="eastAsia" w:eastAsia="方正书宋_GBK"/>
                <w:lang w:eastAsia="zh-CN"/>
              </w:rPr>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验收合格率=验收合格的设备数量/当年购置设备数量*100%</w:t>
            </w:r>
          </w:p>
        </w:tc>
        <w:tc>
          <w:tcPr>
            <w:tcW w:w="2551" w:type="dxa"/>
            <w:vAlign w:val="center"/>
          </w:tcPr>
          <w:p>
            <w:pPr>
              <w:pStyle w:val="12"/>
            </w:pPr>
            <w:r>
              <w:t>100%</w:t>
            </w:r>
          </w:p>
        </w:tc>
        <w:tc>
          <w:tcPr>
            <w:tcW w:w="2268" w:type="dxa"/>
            <w:vAlign w:val="center"/>
          </w:tcPr>
          <w:p>
            <w:pPr>
              <w:pStyle w:val="12"/>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预算执行率</w:t>
            </w:r>
          </w:p>
        </w:tc>
        <w:tc>
          <w:tcPr>
            <w:tcW w:w="2551" w:type="dxa"/>
            <w:vAlign w:val="center"/>
          </w:tcPr>
          <w:p>
            <w:pPr>
              <w:pStyle w:val="12"/>
            </w:pPr>
            <w:r>
              <w:t>≥90%</w:t>
            </w:r>
          </w:p>
        </w:tc>
        <w:tc>
          <w:tcPr>
            <w:tcW w:w="2268" w:type="dxa"/>
            <w:vAlign w:val="center"/>
          </w:tcPr>
          <w:p>
            <w:pPr>
              <w:pStyle w:val="12"/>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2835" w:type="dxa"/>
            <w:vAlign w:val="center"/>
          </w:tcPr>
          <w:p>
            <w:pPr>
              <w:pStyle w:val="12"/>
            </w:pPr>
            <w:r>
              <w:t>购置完成时限</w:t>
            </w:r>
          </w:p>
        </w:tc>
        <w:tc>
          <w:tcPr>
            <w:tcW w:w="2551" w:type="dxa"/>
            <w:vAlign w:val="center"/>
          </w:tcPr>
          <w:p>
            <w:pPr>
              <w:pStyle w:val="12"/>
            </w:pPr>
            <w:r>
              <w:t>2023年12月31日</w:t>
            </w:r>
          </w:p>
        </w:tc>
        <w:tc>
          <w:tcPr>
            <w:tcW w:w="2268" w:type="dxa"/>
            <w:vAlign w:val="center"/>
          </w:tcPr>
          <w:p>
            <w:pPr>
              <w:pStyle w:val="12"/>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2835" w:type="dxa"/>
            <w:vAlign w:val="center"/>
          </w:tcPr>
          <w:p>
            <w:pPr>
              <w:pStyle w:val="12"/>
            </w:pPr>
            <w:r>
              <w:t>购置对公共服务水平的提升情况</w:t>
            </w:r>
          </w:p>
        </w:tc>
        <w:tc>
          <w:tcPr>
            <w:tcW w:w="2551" w:type="dxa"/>
            <w:vAlign w:val="center"/>
          </w:tcPr>
          <w:p>
            <w:pPr>
              <w:pStyle w:val="12"/>
            </w:pPr>
            <w:r>
              <w:t>有所提升</w:t>
            </w:r>
          </w:p>
        </w:tc>
        <w:tc>
          <w:tcPr>
            <w:tcW w:w="2268" w:type="dxa"/>
            <w:vAlign w:val="center"/>
          </w:tcPr>
          <w:p>
            <w:pPr>
              <w:pStyle w:val="12"/>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rPr>
                <w:rFonts w:hint="eastAsia"/>
                <w:lang w:eastAsia="zh-CN"/>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3、重点工作及系统工作会绩效目标表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1.做好专项会议工作，保障单位业务开展。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2835" w:type="dxa"/>
            <w:vAlign w:val="center"/>
          </w:tcPr>
          <w:p>
            <w:pPr>
              <w:pStyle w:val="12"/>
            </w:pPr>
            <w:r>
              <w:t>会议出勤率=实际出勤学员数量/参加会议人员数量*100%</w:t>
            </w:r>
          </w:p>
        </w:tc>
        <w:tc>
          <w:tcPr>
            <w:tcW w:w="2551" w:type="dxa"/>
            <w:vAlign w:val="center"/>
          </w:tcPr>
          <w:p>
            <w:pPr>
              <w:pStyle w:val="12"/>
            </w:pPr>
            <w:r>
              <w:t>100%</w:t>
            </w:r>
          </w:p>
        </w:tc>
        <w:tc>
          <w:tcPr>
            <w:tcW w:w="2268" w:type="dxa"/>
            <w:vAlign w:val="center"/>
          </w:tcPr>
          <w:p>
            <w:pPr>
              <w:pStyle w:val="12"/>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2835" w:type="dxa"/>
            <w:vAlign w:val="center"/>
          </w:tcPr>
          <w:p>
            <w:pPr>
              <w:pStyle w:val="12"/>
            </w:pPr>
            <w:r>
              <w:t>会议合格率（%）</w:t>
            </w:r>
          </w:p>
        </w:tc>
        <w:tc>
          <w:tcPr>
            <w:tcW w:w="2551" w:type="dxa"/>
            <w:vAlign w:val="center"/>
          </w:tcPr>
          <w:p>
            <w:pPr>
              <w:pStyle w:val="12"/>
            </w:pPr>
            <w:r>
              <w:t>90%</w:t>
            </w:r>
          </w:p>
        </w:tc>
        <w:tc>
          <w:tcPr>
            <w:tcW w:w="2268" w:type="dxa"/>
            <w:vAlign w:val="center"/>
          </w:tcPr>
          <w:p>
            <w:pPr>
              <w:pStyle w:val="12"/>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预算执行率</w:t>
            </w:r>
          </w:p>
        </w:tc>
        <w:tc>
          <w:tcPr>
            <w:tcW w:w="2551" w:type="dxa"/>
            <w:vAlign w:val="center"/>
          </w:tcPr>
          <w:p>
            <w:pPr>
              <w:pStyle w:val="12"/>
            </w:pPr>
            <w:r>
              <w:t>≥90%</w:t>
            </w:r>
          </w:p>
        </w:tc>
        <w:tc>
          <w:tcPr>
            <w:tcW w:w="2268" w:type="dxa"/>
            <w:vAlign w:val="center"/>
          </w:tcPr>
          <w:p>
            <w:pPr>
              <w:pStyle w:val="12"/>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2023年12月31日</w:t>
            </w:r>
          </w:p>
        </w:tc>
        <w:tc>
          <w:tcPr>
            <w:tcW w:w="2268" w:type="dxa"/>
            <w:vAlign w:val="center"/>
          </w:tcPr>
          <w:p>
            <w:pPr>
              <w:pStyle w:val="12"/>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2835" w:type="dxa"/>
            <w:vAlign w:val="center"/>
          </w:tcPr>
          <w:p>
            <w:pPr>
              <w:pStyle w:val="12"/>
            </w:pPr>
            <w:r>
              <w:t>会议内容有效落实</w:t>
            </w:r>
          </w:p>
        </w:tc>
        <w:tc>
          <w:tcPr>
            <w:tcW w:w="2551" w:type="dxa"/>
            <w:vAlign w:val="center"/>
          </w:tcPr>
          <w:p>
            <w:pPr>
              <w:pStyle w:val="12"/>
            </w:pPr>
            <w:r>
              <w:t>有效落实</w:t>
            </w:r>
          </w:p>
        </w:tc>
        <w:tc>
          <w:tcPr>
            <w:tcW w:w="2268" w:type="dxa"/>
            <w:vAlign w:val="center"/>
          </w:tcPr>
          <w:p>
            <w:pPr>
              <w:pStyle w:val="12"/>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rPr>
                <w:rFonts w:hint="eastAsia"/>
                <w:lang w:eastAsia="zh-CN"/>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4、农村产权流转交易中心运营经费绩效目标表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发布农村产权交易信息和引导各类农村产权进场规范交易</w:t>
            </w:r>
          </w:p>
        </w:tc>
        <w:tc>
          <w:tcPr>
            <w:tcW w:w="2835" w:type="dxa"/>
            <w:vAlign w:val="center"/>
          </w:tcPr>
          <w:p>
            <w:pPr>
              <w:pStyle w:val="12"/>
            </w:pPr>
            <w:r>
              <w:t>为农民合作社、龙头企业、家庭农场、种养大户等新型经营主体和农民提供农村各类产权流转信息和交易鉴证等综合服务</w:t>
            </w:r>
          </w:p>
        </w:tc>
        <w:tc>
          <w:tcPr>
            <w:tcW w:w="2551" w:type="dxa"/>
            <w:vAlign w:val="center"/>
          </w:tcPr>
          <w:p>
            <w:pPr>
              <w:pStyle w:val="12"/>
            </w:pPr>
            <w:r>
              <w:t>累计交易额100亿元</w:t>
            </w:r>
          </w:p>
        </w:tc>
        <w:tc>
          <w:tcPr>
            <w:tcW w:w="2268" w:type="dxa"/>
            <w:vAlign w:val="center"/>
          </w:tcPr>
          <w:p>
            <w:pPr>
              <w:pStyle w:val="12"/>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推动全市农村产权流转交易发展</w:t>
            </w:r>
          </w:p>
        </w:tc>
        <w:tc>
          <w:tcPr>
            <w:tcW w:w="2835" w:type="dxa"/>
            <w:vAlign w:val="center"/>
          </w:tcPr>
          <w:p>
            <w:pPr>
              <w:pStyle w:val="12"/>
            </w:pPr>
            <w:r>
              <w:t>健康、有效</w:t>
            </w:r>
          </w:p>
        </w:tc>
        <w:tc>
          <w:tcPr>
            <w:tcW w:w="2551" w:type="dxa"/>
            <w:vAlign w:val="center"/>
          </w:tcPr>
          <w:p>
            <w:pPr>
              <w:pStyle w:val="12"/>
            </w:pPr>
            <w:r>
              <w:rPr>
                <w:rFonts w:hint="eastAsia" w:ascii="宋体" w:hAnsi="宋体" w:eastAsia="宋体" w:cs="宋体"/>
                <w:lang w:eastAsia="zh-CN"/>
              </w:rPr>
              <w:t>健康有效</w:t>
            </w:r>
          </w:p>
        </w:tc>
        <w:tc>
          <w:tcPr>
            <w:tcW w:w="2268" w:type="dxa"/>
            <w:vAlign w:val="center"/>
          </w:tcPr>
          <w:p>
            <w:pPr>
              <w:pStyle w:val="12"/>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2023年12月</w:t>
            </w:r>
          </w:p>
        </w:tc>
        <w:tc>
          <w:tcPr>
            <w:tcW w:w="2268" w:type="dxa"/>
            <w:vAlign w:val="center"/>
          </w:tcPr>
          <w:p>
            <w:pPr>
              <w:pStyle w:val="12"/>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市级财政投入</w:t>
            </w:r>
          </w:p>
        </w:tc>
        <w:tc>
          <w:tcPr>
            <w:tcW w:w="2835" w:type="dxa"/>
            <w:vAlign w:val="center"/>
          </w:tcPr>
          <w:p>
            <w:pPr>
              <w:pStyle w:val="12"/>
            </w:pPr>
            <w:r>
              <w:t>财政拨款</w:t>
            </w:r>
          </w:p>
        </w:tc>
        <w:tc>
          <w:tcPr>
            <w:tcW w:w="2551" w:type="dxa"/>
            <w:vAlign w:val="center"/>
          </w:tcPr>
          <w:p>
            <w:pPr>
              <w:pStyle w:val="12"/>
            </w:pPr>
            <w:r>
              <w:t>50万元</w:t>
            </w:r>
          </w:p>
        </w:tc>
        <w:tc>
          <w:tcPr>
            <w:tcW w:w="2268" w:type="dxa"/>
            <w:vAlign w:val="center"/>
          </w:tcPr>
          <w:p>
            <w:pPr>
              <w:pStyle w:val="12"/>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r>
              <w:t>效益指标</w:t>
            </w:r>
          </w:p>
        </w:tc>
        <w:tc>
          <w:tcPr>
            <w:tcW w:w="2268" w:type="dxa"/>
            <w:vAlign w:val="center"/>
          </w:tcPr>
          <w:p>
            <w:pPr>
              <w:pStyle w:val="12"/>
            </w:pPr>
            <w:r>
              <w:t>社会效益指标</w:t>
            </w:r>
          </w:p>
        </w:tc>
        <w:tc>
          <w:tcPr>
            <w:tcW w:w="2835" w:type="dxa"/>
            <w:vAlign w:val="center"/>
          </w:tcPr>
          <w:p>
            <w:pPr>
              <w:pStyle w:val="12"/>
            </w:pPr>
            <w:r>
              <w:t>推动全市农村产权交易市场</w:t>
            </w:r>
          </w:p>
        </w:tc>
        <w:tc>
          <w:tcPr>
            <w:tcW w:w="2835" w:type="dxa"/>
            <w:vAlign w:val="center"/>
          </w:tcPr>
          <w:p>
            <w:pPr>
              <w:pStyle w:val="12"/>
            </w:pPr>
            <w:r>
              <w:t>全市农村产权交易中心能有效盘活农村闲置资产，增加农民财产收益，规范农村产权流转交易行为，提升农村治理能力，促进农村经济发展。</w:t>
            </w:r>
          </w:p>
        </w:tc>
        <w:tc>
          <w:tcPr>
            <w:tcW w:w="2551" w:type="dxa"/>
            <w:vAlign w:val="center"/>
          </w:tcPr>
          <w:p>
            <w:pPr>
              <w:pStyle w:val="12"/>
            </w:pPr>
            <w:r>
              <w:rPr>
                <w:rFonts w:hint="eastAsia" w:ascii="宋体" w:hAnsi="宋体" w:eastAsia="宋体" w:cs="宋体"/>
                <w:lang w:eastAsia="zh-CN"/>
              </w:rPr>
              <w:t>促进农村经济发展</w:t>
            </w:r>
          </w:p>
        </w:tc>
        <w:tc>
          <w:tcPr>
            <w:tcW w:w="2268" w:type="dxa"/>
            <w:vAlign w:val="center"/>
          </w:tcPr>
          <w:p>
            <w:pPr>
              <w:pStyle w:val="12"/>
            </w:pPr>
            <w:r>
              <w:rPr>
                <w:rFonts w:hint="eastAsia"/>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农民满意度</w:t>
            </w:r>
          </w:p>
        </w:tc>
        <w:tc>
          <w:tcPr>
            <w:tcW w:w="2835" w:type="dxa"/>
            <w:vAlign w:val="center"/>
          </w:tcPr>
          <w:p>
            <w:pPr>
              <w:pStyle w:val="12"/>
            </w:pPr>
            <w:r>
              <w:t>农民满意度</w:t>
            </w:r>
          </w:p>
        </w:tc>
        <w:tc>
          <w:tcPr>
            <w:tcW w:w="2551" w:type="dxa"/>
            <w:vAlign w:val="center"/>
          </w:tcPr>
          <w:p>
            <w:pPr>
              <w:pStyle w:val="12"/>
            </w:pPr>
            <w:r>
              <w:t>满意度100%</w:t>
            </w:r>
          </w:p>
        </w:tc>
        <w:tc>
          <w:tcPr>
            <w:tcW w:w="2268" w:type="dxa"/>
            <w:vAlign w:val="center"/>
          </w:tcPr>
          <w:p>
            <w:pPr>
              <w:pStyle w:val="12"/>
            </w:pPr>
            <w:r>
              <w:rPr>
                <w:rFonts w:hint="eastAsia"/>
                <w:lang w:eastAsia="zh-CN"/>
              </w:rP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2023年，唐山市供销合作总社安排政府采购预算13.01万元。具体内容见下表。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620唐山市供销合作总社</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13.01</w:t>
            </w:r>
          </w:p>
        </w:tc>
        <w:tc>
          <w:tcPr>
            <w:tcW w:w="964" w:type="dxa"/>
            <w:vAlign w:val="center"/>
          </w:tcPr>
          <w:p>
            <w:pPr>
              <w:pStyle w:val="15"/>
            </w:pPr>
            <w:r>
              <w:t>13.01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唐山市供销合作总社本级小计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13.01</w:t>
            </w:r>
          </w:p>
        </w:tc>
        <w:tc>
          <w:tcPr>
            <w:tcW w:w="964" w:type="dxa"/>
            <w:vAlign w:val="center"/>
          </w:tcPr>
          <w:p>
            <w:pPr>
              <w:pStyle w:val="15"/>
            </w:pPr>
            <w:r>
              <w:t>13.01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111.81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盒</w:t>
            </w:r>
          </w:p>
        </w:tc>
        <w:tc>
          <w:tcPr>
            <w:tcW w:w="850" w:type="dxa"/>
            <w:vAlign w:val="center"/>
          </w:tcPr>
          <w:p>
            <w:pPr>
              <w:pStyle w:val="11"/>
            </w:pPr>
            <w:r>
              <w:t>75</w:t>
            </w:r>
          </w:p>
        </w:tc>
        <w:tc>
          <w:tcPr>
            <w:tcW w:w="850" w:type="dxa"/>
            <w:vAlign w:val="center"/>
          </w:tcPr>
          <w:p>
            <w:pPr>
              <w:pStyle w:val="11"/>
            </w:pPr>
            <w:r>
              <w:t>0.02</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111.81</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111.81</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.3125</w:t>
            </w:r>
          </w:p>
        </w:tc>
        <w:tc>
          <w:tcPr>
            <w:tcW w:w="850" w:type="dxa"/>
            <w:vAlign w:val="center"/>
          </w:tcPr>
          <w:p>
            <w:pPr>
              <w:pStyle w:val="11"/>
            </w:pPr>
            <w:r>
              <w:t>8.00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购置办公家具</w:t>
            </w:r>
          </w:p>
        </w:tc>
        <w:tc>
          <w:tcPr>
            <w:tcW w:w="964" w:type="dxa"/>
            <w:vAlign w:val="center"/>
          </w:tcPr>
          <w:p>
            <w:pPr>
              <w:pStyle w:val="11"/>
            </w:pPr>
            <w:r>
              <w:t>2.01</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3</w:t>
            </w:r>
          </w:p>
        </w:tc>
        <w:tc>
          <w:tcPr>
            <w:tcW w:w="850" w:type="dxa"/>
            <w:vAlign w:val="center"/>
          </w:tcPr>
          <w:p>
            <w:pPr>
              <w:pStyle w:val="11"/>
            </w:pPr>
            <w:r>
              <w:t>0.15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购置办公家具</w:t>
            </w:r>
          </w:p>
        </w:tc>
        <w:tc>
          <w:tcPr>
            <w:tcW w:w="964" w:type="dxa"/>
            <w:vAlign w:val="center"/>
          </w:tcPr>
          <w:p>
            <w:pPr>
              <w:pStyle w:val="11"/>
            </w:pPr>
            <w:r>
              <w:t>2.01</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0.10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购置办公家具</w:t>
            </w:r>
          </w:p>
        </w:tc>
        <w:tc>
          <w:tcPr>
            <w:tcW w:w="964" w:type="dxa"/>
            <w:vAlign w:val="center"/>
          </w:tcPr>
          <w:p>
            <w:pPr>
              <w:pStyle w:val="11"/>
            </w:pPr>
            <w:r>
              <w:t>2.01</w:t>
            </w:r>
          </w:p>
        </w:tc>
        <w:tc>
          <w:tcPr>
            <w:tcW w:w="1134" w:type="dxa"/>
            <w:vAlign w:val="center"/>
          </w:tcPr>
          <w:p>
            <w:pPr>
              <w:pStyle w:val="12"/>
            </w:pPr>
            <w:r>
              <w:t>其他沙发类</w:t>
            </w:r>
          </w:p>
        </w:tc>
        <w:tc>
          <w:tcPr>
            <w:tcW w:w="1134" w:type="dxa"/>
            <w:vAlign w:val="center"/>
          </w:tcPr>
          <w:p>
            <w:pPr>
              <w:pStyle w:val="12"/>
            </w:pPr>
            <w:r>
              <w:t>A05010499</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0.20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购置办公家具</w:t>
            </w:r>
          </w:p>
        </w:tc>
        <w:tc>
          <w:tcPr>
            <w:tcW w:w="964" w:type="dxa"/>
            <w:vAlign w:val="center"/>
          </w:tcPr>
          <w:p>
            <w:pPr>
              <w:pStyle w:val="11"/>
            </w:pPr>
            <w:r>
              <w:t>2.01</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0.22</w:t>
            </w:r>
          </w:p>
        </w:tc>
        <w:tc>
          <w:tcPr>
            <w:tcW w:w="964" w:type="dxa"/>
            <w:vAlign w:val="center"/>
          </w:tcPr>
          <w:p>
            <w:pPr>
              <w:pStyle w:val="11"/>
            </w:pPr>
            <w:r>
              <w:t>0.66</w:t>
            </w:r>
          </w:p>
        </w:tc>
        <w:tc>
          <w:tcPr>
            <w:tcW w:w="964" w:type="dxa"/>
            <w:vAlign w:val="center"/>
          </w:tcPr>
          <w:p>
            <w:pPr>
              <w:pStyle w:val="11"/>
            </w:pPr>
            <w:r>
              <w:t>0.66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购置设备</w:t>
            </w:r>
          </w:p>
        </w:tc>
        <w:tc>
          <w:tcPr>
            <w:tcW w:w="964" w:type="dxa"/>
            <w:vAlign w:val="center"/>
          </w:tcPr>
          <w:p>
            <w:pPr>
              <w:pStyle w:val="11"/>
            </w:pPr>
            <w:r>
              <w:t>2.00</w:t>
            </w:r>
          </w:p>
        </w:tc>
        <w:tc>
          <w:tcPr>
            <w:tcW w:w="1134" w:type="dxa"/>
            <w:vAlign w:val="center"/>
          </w:tcPr>
          <w:p>
            <w:pPr>
              <w:pStyle w:val="12"/>
            </w:pPr>
            <w:r>
              <w:t>机柜</w:t>
            </w:r>
          </w:p>
        </w:tc>
        <w:tc>
          <w:tcPr>
            <w:tcW w:w="1134" w:type="dxa"/>
            <w:vAlign w:val="center"/>
          </w:tcPr>
          <w:p>
            <w:pPr>
              <w:pStyle w:val="12"/>
            </w:pPr>
            <w:r>
              <w:t>A02010601</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唐山市供销合作总社（含所属单位）上年末固定资产金额为155.62万元（详见下表）。本年度拟购置固定资产总额为</w:t>
      </w:r>
      <w:r>
        <w:rPr>
          <w:rFonts w:hint="eastAsia" w:eastAsia="方正仿宋_GBK"/>
          <w:color w:val="000000"/>
          <w:sz w:val="28"/>
          <w:lang w:val="en-US" w:eastAsia="zh-CN"/>
        </w:rPr>
        <w:t>4.01</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620唐山市供销合作总社</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136.22</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p>
      <w:pPr>
        <w:jc w:val="center"/>
      </w:pPr>
    </w:p>
    <w:p>
      <w:pPr>
        <w:jc w:val="center"/>
      </w:pPr>
    </w:p>
    <w:p>
      <w:pPr>
        <w:jc w:val="center"/>
      </w:pP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bookmarkStart w:id="18" w:name="_GoBack"/>
    <w:bookmarkEnd w:id="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456A2"/>
    <w:multiLevelType w:val="singleLevel"/>
    <w:tmpl w:val="847456A2"/>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RjY2MxYjAxNWQzNjNiN2I3NTc2YzUwYzFmOTNhOTgifQ=="/>
  </w:docVars>
  <w:rsids>
    <w:rsidRoot w:val="00516255"/>
    <w:rsid w:val="00516255"/>
    <w:rsid w:val="0073451F"/>
    <w:rsid w:val="00E33F9C"/>
    <w:rsid w:val="038D51FF"/>
    <w:rsid w:val="0EE31204"/>
    <w:rsid w:val="1AF23E6D"/>
    <w:rsid w:val="1D085BCA"/>
    <w:rsid w:val="3A932222"/>
    <w:rsid w:val="444462ED"/>
    <w:rsid w:val="476B3535"/>
    <w:rsid w:val="713D0318"/>
    <w:rsid w:val="74B46C3F"/>
    <w:rsid w:val="76D8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56</Pages>
  <Words>14680</Words>
  <Characters>18676</Characters>
  <Lines>176</Lines>
  <Paragraphs>49</Paragraphs>
  <TotalTime>1</TotalTime>
  <ScaleCrop>false</ScaleCrop>
  <LinksUpToDate>false</LinksUpToDate>
  <CharactersWithSpaces>18993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2023-03-07T08:35:00Z</dcterms:created>
  <dc:creator>Administrator</dc:creator>
  <cp:lastModifiedBy>guo、丹皮</cp:lastModifiedBy>
  <dcterms:modified xsi:type="dcterms:W3CDTF">2023-08-03T08:33:14Z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304E24E4430643B3BC196503D9340B48</vt:lpwstr>
  </property>
</Properties>
</file>